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25B" w:rsidRPr="00481B56" w:rsidRDefault="000660C1" w:rsidP="00434C77">
      <w:pPr>
        <w:pStyle w:val="Ttulo1"/>
        <w:rPr>
          <w:sz w:val="20"/>
          <w:szCs w:val="20"/>
        </w:rPr>
      </w:pPr>
      <w:r>
        <w:rPr>
          <w:noProof/>
        </w:rPr>
        <mc:AlternateContent>
          <mc:Choice Requires="wps">
            <w:drawing>
              <wp:anchor distT="0" distB="0" distL="114300" distR="114300" simplePos="0" relativeHeight="251659264" behindDoc="0" locked="0" layoutInCell="1" allowOverlap="1" wp14:anchorId="568E43B9" wp14:editId="2AC8EDF2">
                <wp:simplePos x="0" y="0"/>
                <wp:positionH relativeFrom="column">
                  <wp:posOffset>158355</wp:posOffset>
                </wp:positionH>
                <wp:positionV relativeFrom="paragraph">
                  <wp:posOffset>227582</wp:posOffset>
                </wp:positionV>
                <wp:extent cx="6193766" cy="17252"/>
                <wp:effectExtent l="0" t="0" r="17145" b="20955"/>
                <wp:wrapNone/>
                <wp:docPr id="2" name="2 Conector recto"/>
                <wp:cNvGraphicFramePr/>
                <a:graphic xmlns:a="http://schemas.openxmlformats.org/drawingml/2006/main">
                  <a:graphicData uri="http://schemas.microsoft.com/office/word/2010/wordprocessingShape">
                    <wps:wsp>
                      <wps:cNvCnPr/>
                      <wps:spPr>
                        <a:xfrm flipV="1">
                          <a:off x="0" y="0"/>
                          <a:ext cx="6193766" cy="172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id="2 Conector recto"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2.45pt,17.9pt" to="500.1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" strokecolor="black [3040]"/>
            </w:pict>
          </mc:Fallback>
        </mc:AlternateContent>
      </w:r>
      <w:r w:rsidR="002B79E8" w:rsidRPr="000660C1">
        <w:t xml:space="preserve">         </w:t>
      </w:r>
      <w:r w:rsidR="002B79E8" w:rsidRPr="00481B56">
        <w:rPr>
          <w:color w:val="auto"/>
          <w:sz w:val="20"/>
          <w:szCs w:val="20"/>
        </w:rPr>
        <w:t>Acceso abierto</w:t>
      </w:r>
    </w:p>
    <w:p w:rsidR="00E5383A" w:rsidRPr="002B79E8" w:rsidRDefault="002B79E8" w:rsidP="002B79E8">
      <w:pPr>
        <w:spacing w:after="0"/>
        <w:rPr>
          <w:rFonts w:cstheme="minorHAnsi"/>
          <w:sz w:val="18"/>
          <w:szCs w:val="18"/>
        </w:rPr>
        <w:sectPr w:rsidR="00E5383A" w:rsidRPr="002B79E8" w:rsidSect="005E6EAE">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17" w:right="1133" w:bottom="1417" w:left="851" w:header="708" w:footer="708" w:gutter="0"/>
          <w:cols w:space="708"/>
          <w:docGrid w:linePitch="360"/>
        </w:sectPr>
      </w:pPr>
      <w:r>
        <w:rPr>
          <w:rFonts w:cstheme="minorHAnsi"/>
          <w:sz w:val="18"/>
          <w:szCs w:val="18"/>
        </w:rPr>
        <w:t xml:space="preserve"> </w:t>
      </w:r>
    </w:p>
    <w:p w:rsidR="00F035BA" w:rsidRPr="006920AC" w:rsidRDefault="00F035BA" w:rsidP="00F035BA">
      <w:pPr>
        <w:spacing w:after="0" w:line="240" w:lineRule="auto"/>
        <w:rPr>
          <w:rFonts w:ascii="Tahoma" w:eastAsia="Times New Roman" w:hAnsi="Tahoma" w:cs="Tahoma"/>
          <w:b/>
          <w:bCs/>
          <w:color w:val="000000"/>
          <w:sz w:val="40"/>
          <w:szCs w:val="40"/>
          <w:lang w:eastAsia="es-AR"/>
        </w:rPr>
      </w:pPr>
      <w:r w:rsidRPr="006920AC">
        <w:rPr>
          <w:rFonts w:ascii="Tahoma" w:eastAsia="Times New Roman" w:hAnsi="Tahoma" w:cs="Tahoma"/>
          <w:b/>
          <w:bCs/>
          <w:color w:val="000000"/>
          <w:sz w:val="40"/>
          <w:szCs w:val="40"/>
          <w:lang w:eastAsia="es-AR"/>
        </w:rPr>
        <w:lastRenderedPageBreak/>
        <w:t>Liberación de troponina T ultrasensible luego de cirugía de revascularización miocárdica</w:t>
      </w:r>
    </w:p>
    <w:p w:rsidR="0064613D" w:rsidRPr="00163348" w:rsidRDefault="0064613D" w:rsidP="00163348">
      <w:pPr>
        <w:pBdr>
          <w:bottom w:val="single" w:sz="4" w:space="1" w:color="auto"/>
        </w:pBdr>
        <w:spacing w:after="0" w:line="240" w:lineRule="auto"/>
        <w:rPr>
          <w:rFonts w:ascii="Tahoma" w:hAnsi="Tahoma" w:cs="Tahoma"/>
          <w:sz w:val="20"/>
          <w:szCs w:val="20"/>
        </w:rPr>
      </w:pPr>
    </w:p>
    <w:p w:rsidR="004F3216" w:rsidRDefault="004F3216" w:rsidP="007A680B">
      <w:pPr>
        <w:spacing w:after="0" w:line="240" w:lineRule="auto"/>
        <w:rPr>
          <w:rFonts w:ascii="Tahoma" w:eastAsia="Times New Roman" w:hAnsi="Tahoma" w:cs="Tahoma"/>
          <w:color w:val="000000"/>
          <w:sz w:val="14"/>
          <w:szCs w:val="14"/>
          <w:shd w:val="clear" w:color="auto" w:fill="FFFFFF"/>
          <w:lang w:eastAsia="es-AR"/>
        </w:rPr>
      </w:pPr>
    </w:p>
    <w:p w:rsidR="0064613D" w:rsidRDefault="00F035BA" w:rsidP="0064613D">
      <w:pPr>
        <w:spacing w:after="0" w:line="240" w:lineRule="auto"/>
        <w:rPr>
          <w:rFonts w:ascii="Tahoma" w:eastAsia="Times New Roman" w:hAnsi="Tahoma" w:cs="Tahoma"/>
          <w:color w:val="000000"/>
          <w:sz w:val="14"/>
          <w:szCs w:val="14"/>
          <w:lang w:eastAsia="es-AR"/>
        </w:rPr>
      </w:pPr>
      <w:r w:rsidRPr="006920AC">
        <w:rPr>
          <w:rFonts w:ascii="Tahoma" w:eastAsia="Times New Roman" w:hAnsi="Tahoma" w:cs="Tahoma"/>
          <w:color w:val="000000"/>
          <w:sz w:val="14"/>
          <w:szCs w:val="14"/>
          <w:lang w:eastAsia="es-AR"/>
        </w:rPr>
        <w:t>Bruno M. Barthe</w:t>
      </w:r>
      <w:r>
        <w:rPr>
          <w:rFonts w:ascii="Tahoma" w:eastAsia="Times New Roman" w:hAnsi="Tahoma" w:cs="Tahoma"/>
          <w:color w:val="000000"/>
          <w:sz w:val="14"/>
          <w:szCs w:val="14"/>
          <w:lang w:eastAsia="es-AR"/>
        </w:rPr>
        <w:t xml:space="preserve"> </w:t>
      </w:r>
      <w:r w:rsidRPr="00FF5899">
        <w:rPr>
          <w:rFonts w:ascii="Tahoma" w:eastAsia="Times New Roman" w:hAnsi="Tahoma" w:cs="Tahoma"/>
          <w:color w:val="000000"/>
          <w:sz w:val="14"/>
          <w:szCs w:val="14"/>
          <w:vertAlign w:val="superscript"/>
          <w:lang w:eastAsia="es-AR"/>
        </w:rPr>
        <w:t>(1)</w:t>
      </w:r>
    </w:p>
    <w:p w:rsidR="0064613D" w:rsidRDefault="0064613D" w:rsidP="0064613D">
      <w:pPr>
        <w:spacing w:after="0" w:line="240" w:lineRule="auto"/>
        <w:rPr>
          <w:rFonts w:ascii="Tahoma" w:eastAsia="Times New Roman" w:hAnsi="Tahoma" w:cs="Tahoma"/>
          <w:color w:val="000000"/>
          <w:sz w:val="14"/>
          <w:szCs w:val="14"/>
          <w:lang w:eastAsia="es-AR"/>
        </w:rPr>
      </w:pPr>
    </w:p>
    <w:p w:rsidR="0011171C" w:rsidRPr="0011171C" w:rsidRDefault="0064613D" w:rsidP="0011171C">
      <w:pPr>
        <w:spacing w:after="0" w:line="240" w:lineRule="auto"/>
        <w:rPr>
          <w:rFonts w:ascii="Tahoma" w:eastAsia="Times New Roman" w:hAnsi="Tahoma" w:cs="Tahoma"/>
          <w:color w:val="000000"/>
          <w:sz w:val="14"/>
          <w:szCs w:val="14"/>
          <w:lang w:eastAsia="es-AR"/>
        </w:rPr>
      </w:pPr>
      <w:r>
        <w:rPr>
          <w:rFonts w:ascii="Tahoma" w:eastAsia="Times New Roman" w:hAnsi="Tahoma" w:cs="Tahoma"/>
          <w:color w:val="000000"/>
          <w:sz w:val="14"/>
          <w:szCs w:val="14"/>
          <w:vertAlign w:val="superscript"/>
          <w:lang w:eastAsia="es-AR"/>
        </w:rPr>
        <w:t>(1</w:t>
      </w:r>
      <w:r w:rsidRPr="00FF5899">
        <w:rPr>
          <w:rFonts w:ascii="Tahoma" w:eastAsia="Times New Roman" w:hAnsi="Tahoma" w:cs="Tahoma"/>
          <w:color w:val="000000"/>
          <w:sz w:val="14"/>
          <w:szCs w:val="14"/>
          <w:vertAlign w:val="superscript"/>
          <w:lang w:eastAsia="es-AR"/>
        </w:rPr>
        <w:t>)</w:t>
      </w:r>
      <w:r>
        <w:rPr>
          <w:rFonts w:ascii="Tahoma" w:eastAsia="Times New Roman" w:hAnsi="Tahoma" w:cs="Tahoma"/>
          <w:color w:val="000000"/>
          <w:sz w:val="14"/>
          <w:szCs w:val="14"/>
          <w:lang w:eastAsia="es-AR"/>
        </w:rPr>
        <w:t xml:space="preserve"> </w:t>
      </w:r>
      <w:r w:rsidR="002C5FAA">
        <w:rPr>
          <w:rFonts w:ascii="Tahoma" w:eastAsia="Times New Roman" w:hAnsi="Tahoma" w:cs="Tahoma"/>
          <w:color w:val="000000"/>
          <w:sz w:val="14"/>
          <w:szCs w:val="14"/>
          <w:lang w:eastAsia="es-AR"/>
        </w:rPr>
        <w:t>Médico r</w:t>
      </w:r>
      <w:r w:rsidR="00572356">
        <w:rPr>
          <w:rFonts w:ascii="Tahoma" w:eastAsia="Times New Roman" w:hAnsi="Tahoma" w:cs="Tahoma"/>
          <w:color w:val="000000"/>
          <w:sz w:val="14"/>
          <w:szCs w:val="14"/>
          <w:lang w:eastAsia="es-AR"/>
        </w:rPr>
        <w:t xml:space="preserve">esidente </w:t>
      </w:r>
      <w:r w:rsidR="002C5FAA">
        <w:rPr>
          <w:rFonts w:ascii="Tahoma" w:eastAsia="Times New Roman" w:hAnsi="Tahoma" w:cs="Tahoma"/>
          <w:color w:val="000000"/>
          <w:sz w:val="14"/>
          <w:szCs w:val="14"/>
          <w:lang w:eastAsia="es-AR"/>
        </w:rPr>
        <w:t xml:space="preserve">del Servicio </w:t>
      </w:r>
      <w:r w:rsidR="00481B56">
        <w:rPr>
          <w:rFonts w:ascii="Tahoma" w:eastAsia="Times New Roman" w:hAnsi="Tahoma" w:cs="Tahoma"/>
          <w:color w:val="000000"/>
          <w:sz w:val="14"/>
          <w:szCs w:val="14"/>
          <w:lang w:eastAsia="es-AR"/>
        </w:rPr>
        <w:t>de</w:t>
      </w:r>
      <w:r w:rsidR="002661B4">
        <w:rPr>
          <w:rFonts w:ascii="Tahoma" w:eastAsia="Times New Roman" w:hAnsi="Tahoma" w:cs="Tahoma"/>
          <w:color w:val="000000"/>
          <w:sz w:val="14"/>
          <w:szCs w:val="14"/>
          <w:lang w:eastAsia="es-AR"/>
        </w:rPr>
        <w:t xml:space="preserve"> Cardiología</w:t>
      </w:r>
      <w:r w:rsidR="0011171C">
        <w:rPr>
          <w:rFonts w:ascii="Tahoma" w:eastAsia="Times New Roman" w:hAnsi="Tahoma" w:cs="Tahoma"/>
          <w:color w:val="000000"/>
          <w:sz w:val="14"/>
          <w:szCs w:val="14"/>
          <w:lang w:eastAsia="es-AR"/>
        </w:rPr>
        <w:br/>
      </w:r>
    </w:p>
    <w:p w:rsidR="0064613D" w:rsidRPr="00EF51FD" w:rsidRDefault="007C64E1" w:rsidP="0011171C">
      <w:pPr>
        <w:spacing w:after="0" w:line="240" w:lineRule="auto"/>
        <w:rPr>
          <w:rFonts w:ascii="Tahoma" w:eastAsia="Times New Roman" w:hAnsi="Tahoma" w:cs="Tahoma"/>
          <w:color w:val="000000"/>
          <w:sz w:val="14"/>
          <w:szCs w:val="14"/>
          <w:lang w:eastAsia="es-AR"/>
        </w:rPr>
      </w:pPr>
      <w:r w:rsidRPr="00766783">
        <w:rPr>
          <w:rFonts w:ascii="Tahoma" w:eastAsia="Times New Roman" w:hAnsi="Tahoma" w:cs="Tahoma"/>
          <w:color w:val="000000"/>
          <w:sz w:val="14"/>
          <w:szCs w:val="14"/>
          <w:lang w:eastAsia="es-AR"/>
        </w:rPr>
        <w:t>Instituto Cardiovascular de Rosario</w:t>
      </w:r>
      <w:r w:rsidR="00572356">
        <w:rPr>
          <w:rFonts w:ascii="Tahoma" w:eastAsia="Times New Roman" w:hAnsi="Tahoma" w:cs="Tahoma"/>
          <w:color w:val="000000"/>
          <w:sz w:val="14"/>
          <w:szCs w:val="14"/>
          <w:lang w:eastAsia="es-AR"/>
        </w:rPr>
        <w:t xml:space="preserve">, Bv. </w:t>
      </w:r>
      <w:r>
        <w:rPr>
          <w:rFonts w:ascii="Tahoma" w:eastAsia="Times New Roman" w:hAnsi="Tahoma" w:cs="Tahoma"/>
          <w:color w:val="000000"/>
          <w:sz w:val="14"/>
          <w:szCs w:val="14"/>
          <w:lang w:eastAsia="es-AR"/>
        </w:rPr>
        <w:t xml:space="preserve">Oroño 450 </w:t>
      </w:r>
      <w:r w:rsidR="001F07F7">
        <w:rPr>
          <w:rFonts w:ascii="Tahoma" w:eastAsia="Times New Roman" w:hAnsi="Tahoma" w:cs="Tahoma"/>
          <w:color w:val="000000"/>
          <w:sz w:val="14"/>
          <w:szCs w:val="14"/>
          <w:lang w:eastAsia="es-AR"/>
        </w:rPr>
        <w:t>(2000) Rosario, Argentina</w:t>
      </w:r>
      <w:r w:rsidR="00862E9E">
        <w:rPr>
          <w:rFonts w:ascii="Tahoma" w:eastAsia="Times New Roman" w:hAnsi="Tahoma" w:cs="Tahoma"/>
          <w:color w:val="000000"/>
          <w:sz w:val="14"/>
          <w:szCs w:val="14"/>
          <w:lang w:eastAsia="es-AR"/>
        </w:rPr>
        <w:t xml:space="preserve"> </w:t>
      </w:r>
    </w:p>
    <w:p w:rsidR="0064613D" w:rsidRDefault="0064613D" w:rsidP="0064613D">
      <w:pPr>
        <w:spacing w:after="0" w:line="240" w:lineRule="auto"/>
        <w:rPr>
          <w:rFonts w:ascii="Tahoma" w:eastAsia="Times New Roman" w:hAnsi="Tahoma" w:cs="Tahoma"/>
          <w:color w:val="000000"/>
          <w:sz w:val="14"/>
          <w:szCs w:val="14"/>
          <w:lang w:eastAsia="es-AR"/>
        </w:rPr>
      </w:pPr>
    </w:p>
    <w:p w:rsidR="0064613D" w:rsidRPr="00EF51FD" w:rsidRDefault="0064613D" w:rsidP="0064613D">
      <w:pPr>
        <w:spacing w:after="0" w:line="240" w:lineRule="auto"/>
        <w:rPr>
          <w:rFonts w:ascii="Arial" w:eastAsia="Times New Roman" w:hAnsi="Arial" w:cs="Arial"/>
          <w:color w:val="000000"/>
          <w:sz w:val="18"/>
          <w:szCs w:val="18"/>
          <w:lang w:eastAsia="es-AR"/>
        </w:rPr>
      </w:pPr>
      <w:r w:rsidRPr="00EF51FD">
        <w:rPr>
          <w:rFonts w:ascii="Tahoma" w:eastAsia="Times New Roman" w:hAnsi="Tahoma" w:cs="Tahoma"/>
          <w:color w:val="000000"/>
          <w:sz w:val="14"/>
          <w:szCs w:val="14"/>
          <w:lang w:eastAsia="es-AR"/>
        </w:rPr>
        <w:br/>
      </w:r>
      <w:r w:rsidRPr="00350E8E">
        <w:rPr>
          <w:rFonts w:ascii="Tahoma" w:eastAsia="Times New Roman" w:hAnsi="Tahoma" w:cs="Tahoma"/>
          <w:b/>
          <w:color w:val="000000"/>
          <w:sz w:val="14"/>
          <w:szCs w:val="14"/>
          <w:lang w:eastAsia="es-AR"/>
        </w:rPr>
        <w:t>Correspondencia a</w:t>
      </w:r>
      <w:r w:rsidRPr="00EF51FD">
        <w:rPr>
          <w:rFonts w:ascii="Tahoma" w:eastAsia="Times New Roman" w:hAnsi="Tahoma" w:cs="Tahoma"/>
          <w:color w:val="000000"/>
          <w:sz w:val="14"/>
          <w:szCs w:val="14"/>
          <w:lang w:eastAsia="es-AR"/>
        </w:rPr>
        <w:t xml:space="preserve">: </w:t>
      </w:r>
      <w:r w:rsidR="005D0265" w:rsidRPr="006920AC">
        <w:rPr>
          <w:rFonts w:ascii="Tahoma" w:eastAsia="Times New Roman" w:hAnsi="Tahoma" w:cs="Tahoma"/>
          <w:color w:val="000000"/>
          <w:sz w:val="14"/>
          <w:szCs w:val="14"/>
          <w:lang w:eastAsia="es-AR"/>
        </w:rPr>
        <w:t>brunobarthe69@gmail.com</w:t>
      </w:r>
      <w:r w:rsidRPr="00EF51FD">
        <w:rPr>
          <w:rFonts w:ascii="Tahoma" w:eastAsia="Times New Roman" w:hAnsi="Tahoma" w:cs="Tahoma"/>
          <w:color w:val="000000"/>
          <w:sz w:val="14"/>
          <w:szCs w:val="14"/>
          <w:lang w:eastAsia="es-AR"/>
        </w:rPr>
        <w:br/>
      </w:r>
      <w:r>
        <w:rPr>
          <w:rFonts w:ascii="Tahoma" w:eastAsia="Times New Roman" w:hAnsi="Tahoma" w:cs="Tahoma"/>
          <w:b/>
          <w:color w:val="000000"/>
          <w:sz w:val="14"/>
          <w:szCs w:val="14"/>
          <w:lang w:eastAsia="es-AR"/>
        </w:rPr>
        <w:br/>
        <w:t>Fecha de publicación</w:t>
      </w:r>
      <w:r w:rsidRPr="00EF51FD">
        <w:rPr>
          <w:rFonts w:ascii="Tahoma" w:eastAsia="Times New Roman" w:hAnsi="Tahoma" w:cs="Tahoma"/>
          <w:color w:val="000000"/>
          <w:sz w:val="14"/>
          <w:szCs w:val="14"/>
          <w:lang w:eastAsia="es-AR"/>
        </w:rPr>
        <w:t xml:space="preserve">: </w:t>
      </w:r>
      <w:r w:rsidR="005C1FAE">
        <w:rPr>
          <w:rFonts w:ascii="Tahoma" w:eastAsia="Times New Roman" w:hAnsi="Tahoma" w:cs="Tahoma"/>
          <w:color w:val="000000"/>
          <w:sz w:val="14"/>
          <w:szCs w:val="14"/>
          <w:lang w:eastAsia="es-AR"/>
        </w:rPr>
        <w:t>06</w:t>
      </w:r>
      <w:r w:rsidR="00EC459C">
        <w:rPr>
          <w:rFonts w:ascii="Tahoma" w:eastAsia="Times New Roman" w:hAnsi="Tahoma" w:cs="Tahoma"/>
          <w:color w:val="000000"/>
          <w:sz w:val="14"/>
          <w:szCs w:val="14"/>
          <w:lang w:eastAsia="es-AR"/>
        </w:rPr>
        <w:t>/</w:t>
      </w:r>
      <w:r w:rsidR="007C64E1">
        <w:rPr>
          <w:rFonts w:ascii="Tahoma" w:eastAsia="Times New Roman" w:hAnsi="Tahoma" w:cs="Tahoma"/>
          <w:color w:val="000000"/>
          <w:sz w:val="14"/>
          <w:szCs w:val="14"/>
          <w:lang w:eastAsia="es-AR"/>
        </w:rPr>
        <w:t>0</w:t>
      </w:r>
      <w:r w:rsidR="005C1FAE">
        <w:rPr>
          <w:rFonts w:ascii="Tahoma" w:eastAsia="Times New Roman" w:hAnsi="Tahoma" w:cs="Tahoma"/>
          <w:color w:val="000000"/>
          <w:sz w:val="14"/>
          <w:szCs w:val="14"/>
          <w:lang w:eastAsia="es-AR"/>
        </w:rPr>
        <w:t>5</w:t>
      </w:r>
      <w:r w:rsidR="007C64E1">
        <w:rPr>
          <w:rFonts w:ascii="Tahoma" w:eastAsia="Times New Roman" w:hAnsi="Tahoma" w:cs="Tahoma"/>
          <w:color w:val="000000"/>
          <w:sz w:val="14"/>
          <w:szCs w:val="14"/>
          <w:lang w:eastAsia="es-AR"/>
        </w:rPr>
        <w:t>/2025</w:t>
      </w:r>
    </w:p>
    <w:p w:rsidR="0064613D" w:rsidRPr="00350E8E" w:rsidRDefault="0064613D" w:rsidP="0064613D">
      <w:pPr>
        <w:spacing w:after="0" w:line="240" w:lineRule="auto"/>
        <w:rPr>
          <w:rFonts w:ascii="Tahoma" w:eastAsia="Times New Roman" w:hAnsi="Tahoma" w:cs="Tahoma"/>
          <w:b/>
          <w:color w:val="000000"/>
          <w:sz w:val="14"/>
          <w:szCs w:val="14"/>
          <w:lang w:eastAsia="es-AR"/>
        </w:rPr>
      </w:pPr>
    </w:p>
    <w:p w:rsidR="0064613D" w:rsidRPr="0011171C" w:rsidRDefault="0064613D" w:rsidP="0064613D">
      <w:pPr>
        <w:spacing w:after="0" w:line="240" w:lineRule="auto"/>
        <w:rPr>
          <w:rFonts w:ascii="Tahoma" w:eastAsia="Times New Roman" w:hAnsi="Tahoma" w:cs="Tahoma"/>
          <w:color w:val="000000"/>
          <w:sz w:val="14"/>
          <w:szCs w:val="14"/>
          <w:lang w:eastAsia="es-AR"/>
        </w:rPr>
      </w:pPr>
      <w:r w:rsidRPr="0011171C">
        <w:rPr>
          <w:rFonts w:ascii="Tahoma" w:eastAsia="Times New Roman" w:hAnsi="Tahoma" w:cs="Tahoma"/>
          <w:b/>
          <w:color w:val="000000"/>
          <w:sz w:val="14"/>
          <w:szCs w:val="14"/>
          <w:lang w:eastAsia="es-AR"/>
        </w:rPr>
        <w:t>Citación sugerida:</w:t>
      </w:r>
      <w:r w:rsidRPr="0011171C">
        <w:rPr>
          <w:rFonts w:ascii="Tahoma" w:eastAsia="Times New Roman" w:hAnsi="Tahoma" w:cs="Tahoma"/>
          <w:color w:val="000000"/>
          <w:sz w:val="14"/>
          <w:szCs w:val="14"/>
          <w:lang w:eastAsia="es-AR"/>
        </w:rPr>
        <w:t xml:space="preserve"> </w:t>
      </w:r>
      <w:r w:rsidR="005D0265">
        <w:rPr>
          <w:rFonts w:ascii="Tahoma" w:hAnsi="Tahoma" w:cs="Tahoma"/>
          <w:sz w:val="14"/>
          <w:szCs w:val="14"/>
        </w:rPr>
        <w:t>Barthe B</w:t>
      </w:r>
      <w:r w:rsidR="00F43CAE">
        <w:rPr>
          <w:rFonts w:ascii="Tahoma" w:hAnsi="Tahoma" w:cs="Tahoma"/>
          <w:sz w:val="14"/>
          <w:szCs w:val="14"/>
        </w:rPr>
        <w:t>M</w:t>
      </w:r>
      <w:r w:rsidR="007C64E1">
        <w:rPr>
          <w:rFonts w:ascii="Tahoma" w:hAnsi="Tahoma" w:cs="Tahoma"/>
          <w:sz w:val="14"/>
          <w:szCs w:val="14"/>
        </w:rPr>
        <w:t xml:space="preserve"> y col</w:t>
      </w:r>
      <w:r w:rsidR="0011171C" w:rsidRPr="0011171C">
        <w:rPr>
          <w:rFonts w:ascii="Tahoma" w:hAnsi="Tahoma" w:cs="Tahoma"/>
          <w:sz w:val="14"/>
          <w:szCs w:val="14"/>
        </w:rPr>
        <w:t xml:space="preserve">. </w:t>
      </w:r>
      <w:r w:rsidR="005D0265" w:rsidRPr="005D0265">
        <w:rPr>
          <w:rFonts w:ascii="Tahoma" w:hAnsi="Tahoma" w:cs="Tahoma"/>
          <w:sz w:val="14"/>
          <w:szCs w:val="14"/>
        </w:rPr>
        <w:t>Liberación de troponina T ultrasensible luego de cirugía de revascularización miocárdica</w:t>
      </w:r>
      <w:r w:rsidR="0011171C" w:rsidRPr="0011171C">
        <w:rPr>
          <w:rFonts w:ascii="Tahoma" w:hAnsi="Tahoma" w:cs="Tahoma"/>
          <w:sz w:val="14"/>
          <w:szCs w:val="14"/>
        </w:rPr>
        <w:t xml:space="preserve">. Anuario (Fund. Dr. J. R. Villavicencio) 2025;32. Disponible en: </w:t>
      </w:r>
      <w:hyperlink r:id="rId15" w:history="1">
        <w:r w:rsidR="007F7B2F" w:rsidRPr="00F72B30">
          <w:rPr>
            <w:rStyle w:val="Hipervnculo"/>
            <w:rFonts w:ascii="Tahoma" w:hAnsi="Tahoma" w:cs="Tahoma"/>
            <w:sz w:val="14"/>
            <w:szCs w:val="14"/>
          </w:rPr>
          <w:t>https://villavicencio.org.ar/anuario/32/liberacion-de-troponina.pdf</w:t>
        </w:r>
      </w:hyperlink>
      <w:r w:rsidR="007C64E1">
        <w:rPr>
          <w:rFonts w:ascii="Tahoma" w:hAnsi="Tahoma" w:cs="Tahoma"/>
          <w:sz w:val="14"/>
          <w:szCs w:val="14"/>
        </w:rPr>
        <w:t>.</w:t>
      </w:r>
      <w:r w:rsidR="007F7B2F">
        <w:rPr>
          <w:rFonts w:ascii="Tahoma" w:hAnsi="Tahoma" w:cs="Tahoma"/>
          <w:sz w:val="14"/>
          <w:szCs w:val="14"/>
        </w:rPr>
        <w:t xml:space="preserve"> ARK: </w:t>
      </w:r>
      <w:hyperlink r:id="rId16" w:history="1">
        <w:r w:rsidR="007F7B2F" w:rsidRPr="00F72B30">
          <w:rPr>
            <w:rStyle w:val="Hipervnculo"/>
            <w:rFonts w:ascii="Tahoma" w:hAnsi="Tahoma" w:cs="Tahoma"/>
            <w:sz w:val="14"/>
            <w:szCs w:val="14"/>
          </w:rPr>
          <w:t>https://id.caicyt.gov.ar/ark://wdeuuf6ah</w:t>
        </w:r>
      </w:hyperlink>
      <w:r w:rsidR="007F7B2F">
        <w:rPr>
          <w:rFonts w:ascii="Tahoma" w:hAnsi="Tahoma" w:cs="Tahoma"/>
          <w:sz w:val="14"/>
          <w:szCs w:val="14"/>
        </w:rPr>
        <w:t xml:space="preserve"> </w:t>
      </w:r>
      <w:bookmarkStart w:id="0" w:name="_GoBack"/>
      <w:bookmarkEnd w:id="0"/>
    </w:p>
    <w:p w:rsidR="0064613D" w:rsidRDefault="0064613D" w:rsidP="0064613D">
      <w:pPr>
        <w:spacing w:after="0" w:line="240" w:lineRule="auto"/>
        <w:rPr>
          <w:rFonts w:ascii="Tahoma" w:eastAsia="Times New Roman" w:hAnsi="Tahoma" w:cs="Tahoma"/>
          <w:color w:val="000000"/>
          <w:sz w:val="14"/>
          <w:szCs w:val="14"/>
          <w:lang w:eastAsia="es-AR"/>
        </w:rPr>
      </w:pPr>
    </w:p>
    <w:p w:rsidR="0064613D" w:rsidRDefault="0011171C" w:rsidP="0064613D">
      <w:pPr>
        <w:spacing w:after="0" w:line="240" w:lineRule="auto"/>
        <w:rPr>
          <w:rFonts w:ascii="Tahoma" w:eastAsia="Times New Roman" w:hAnsi="Tahoma" w:cs="Tahoma"/>
          <w:color w:val="000000"/>
          <w:sz w:val="14"/>
          <w:szCs w:val="14"/>
          <w:lang w:eastAsia="es-AR"/>
        </w:rPr>
      </w:pPr>
      <w:r w:rsidRPr="0011171C">
        <w:rPr>
          <w:rFonts w:ascii="Tahoma" w:eastAsia="Times New Roman" w:hAnsi="Tahoma" w:cs="Tahoma"/>
          <w:color w:val="000000"/>
          <w:sz w:val="14"/>
          <w:szCs w:val="14"/>
          <w:lang w:eastAsia="es-AR"/>
        </w:rPr>
        <w:t>Este es un artículo de acceso abierto distribuido bajo los términos de Creative Commons Attribution License (https://creativecommons.org/licenses/by-nc-sa/4.0/deed.es), esto permite que Ud. lo use, lo distribuya y lo adapte, sin propósitos comerciales, siempre que se cite correctamente el trabajo original. Si crea un nuevo material con él, debe distribuirlo con la misma licencia.</w:t>
      </w:r>
    </w:p>
    <w:p w:rsidR="0011171C" w:rsidRPr="00B62B8B" w:rsidRDefault="0011171C" w:rsidP="0064613D">
      <w:pPr>
        <w:spacing w:after="0" w:line="240" w:lineRule="auto"/>
        <w:rPr>
          <w:rFonts w:eastAsia="Times New Roman"/>
          <w:color w:val="000000"/>
          <w:lang w:eastAsia="es-AR"/>
        </w:rPr>
      </w:pPr>
    </w:p>
    <w:p w:rsidR="007D2C8F" w:rsidRPr="008A45B0" w:rsidRDefault="00E229A9" w:rsidP="00BC00B5">
      <w:pPr>
        <w:shd w:val="clear" w:color="auto" w:fill="F2F2F2" w:themeFill="background1" w:themeFillShade="F2"/>
        <w:spacing w:after="0" w:line="240" w:lineRule="auto"/>
        <w:rPr>
          <w:rFonts w:ascii="Tahoma" w:eastAsia="Times New Roman" w:hAnsi="Tahoma" w:cs="Tahoma"/>
          <w:b/>
          <w:bCs/>
          <w:color w:val="000000"/>
          <w:sz w:val="18"/>
          <w:szCs w:val="18"/>
          <w:lang w:eastAsia="es-AR"/>
        </w:rPr>
      </w:pPr>
      <w:r>
        <w:rPr>
          <w:rFonts w:ascii="Arial" w:eastAsia="Times New Roman" w:hAnsi="Arial" w:cs="Arial"/>
          <w:color w:val="000000"/>
          <w:sz w:val="18"/>
          <w:szCs w:val="18"/>
          <w:lang w:eastAsia="es-AR"/>
        </w:rPr>
        <w:br/>
      </w:r>
      <w:r w:rsidR="007D2C8F" w:rsidRPr="008A45B0">
        <w:rPr>
          <w:rFonts w:ascii="Tahoma" w:eastAsia="Times New Roman" w:hAnsi="Tahoma" w:cs="Tahoma"/>
          <w:b/>
          <w:bCs/>
          <w:color w:val="000000"/>
          <w:sz w:val="18"/>
          <w:szCs w:val="18"/>
          <w:lang w:eastAsia="es-AR"/>
        </w:rPr>
        <w:t>Resumen</w:t>
      </w:r>
    </w:p>
    <w:p w:rsidR="00082154" w:rsidRPr="00082154" w:rsidRDefault="00082154" w:rsidP="00082154">
      <w:pPr>
        <w:shd w:val="clear" w:color="auto" w:fill="F2F2F2" w:themeFill="background1" w:themeFillShade="F2"/>
        <w:spacing w:after="0" w:line="240" w:lineRule="auto"/>
        <w:rPr>
          <w:rFonts w:ascii="Arial" w:eastAsia="Times New Roman" w:hAnsi="Arial" w:cs="Arial"/>
          <w:color w:val="000000"/>
          <w:sz w:val="18"/>
          <w:szCs w:val="18"/>
          <w:lang w:eastAsia="es-AR"/>
        </w:rPr>
      </w:pPr>
      <w:r w:rsidRPr="00082154">
        <w:rPr>
          <w:rFonts w:ascii="Arial" w:eastAsia="Times New Roman" w:hAnsi="Arial" w:cs="Arial"/>
          <w:color w:val="000000"/>
          <w:sz w:val="18"/>
          <w:szCs w:val="18"/>
          <w:lang w:eastAsia="es-AR"/>
        </w:rPr>
        <w:t>Objetivos: Describir la liberación de Troponinas T ultrasensibles y fracción miocárdica de creatinfosfoquinasa en las primeras horas del postoperatorio de cirugía de revascularización miocárdica y estudiar si existe asociación entre su aumento y la aparición de cambios sugestivos de isquemia miocárdica en el electrocardiograma.</w:t>
      </w:r>
      <w:r w:rsidRPr="00082154">
        <w:rPr>
          <w:rFonts w:ascii="Arial" w:eastAsia="Times New Roman" w:hAnsi="Arial" w:cs="Arial"/>
          <w:color w:val="000000"/>
          <w:sz w:val="18"/>
          <w:szCs w:val="18"/>
          <w:lang w:eastAsia="es-AR"/>
        </w:rPr>
        <w:br/>
        <w:t>Población y métodos: Se incluyeron 152 pacientes sometidos a cirugía de revascularización miocárdica desde octubre de 2020 hasta julio de 2024. Se describieron las características basales de los mismos y se analizaron distintas variables en relación a lo sucedido durante la cirugía y el post operatorio. Se realizaron mediciones de los biomarcardores preoperatorio, al ingreso de cuidados intensivos, a la hora y a la mañana siguiente y se describió la curva de liberación en los diferentes escenarios clínicos.</w:t>
      </w:r>
      <w:r w:rsidRPr="00082154">
        <w:rPr>
          <w:rFonts w:ascii="Arial" w:eastAsia="Times New Roman" w:hAnsi="Arial" w:cs="Arial"/>
          <w:color w:val="000000"/>
          <w:sz w:val="18"/>
          <w:szCs w:val="18"/>
          <w:lang w:eastAsia="es-AR"/>
        </w:rPr>
        <w:br/>
        <w:t>Resultados: En la medición preoperatoria 81 pacientes mostraron valores elevados de Troponinas T ultrasensibles, sin embargo, sus valores en el postoperatorio no tuvieron diferencias con los de los pacientes que exhibieron Troponinas T ultrasensibles normales en el preoperatorio.</w:t>
      </w:r>
      <w:r w:rsidRPr="00082154">
        <w:rPr>
          <w:rFonts w:ascii="Arial" w:eastAsia="Times New Roman" w:hAnsi="Arial" w:cs="Arial"/>
          <w:color w:val="000000"/>
          <w:sz w:val="18"/>
          <w:szCs w:val="18"/>
          <w:lang w:eastAsia="es-AR"/>
        </w:rPr>
        <w:br/>
        <w:t>La liberación de Troponinas T ultrasensibles fue mayor en los pacientes con signos electrocardiográficos de síndrome isquémico agudo del postoperatorio al ingreso a la unidad de cuidados críticos y a la hora de este, a diferencia de la fracción miocárdica de creatinfosfoquinasa en donde solo alcanzo significación estadística al ingreso.</w:t>
      </w:r>
      <w:r w:rsidRPr="00082154">
        <w:rPr>
          <w:rFonts w:ascii="Arial" w:eastAsia="Times New Roman" w:hAnsi="Arial" w:cs="Arial"/>
          <w:color w:val="000000"/>
          <w:sz w:val="18"/>
          <w:szCs w:val="18"/>
          <w:lang w:eastAsia="es-AR"/>
        </w:rPr>
        <w:br/>
        <w:t>Si bien en los pacientes con supradesnivel del segmento ST parece haber una tendencia, especialmente al ingreso, a una liberación mayor de TnTs, no se hallaron diferencias significativas entre las distintas alteraciones del electrocardiograma, al igual que con la fracción miocárdica de creatinfosfoquinasa.</w:t>
      </w:r>
      <w:r w:rsidRPr="00082154">
        <w:rPr>
          <w:rFonts w:ascii="Arial" w:eastAsia="Times New Roman" w:hAnsi="Arial" w:cs="Arial"/>
          <w:color w:val="000000"/>
          <w:sz w:val="18"/>
          <w:szCs w:val="18"/>
          <w:lang w:eastAsia="es-AR"/>
        </w:rPr>
        <w:br/>
        <w:t xml:space="preserve">Conclusiones: Nuestra evidencia sugiere que valores superiores a 34 veces el límite superior normal para un paciente no operado al ingreso y 40 veces el límite superior normal para un paciente no operado a la hora del ingreso podrían ser más indicativos para el diagnóstico de sindrome </w:t>
      </w:r>
      <w:r w:rsidR="00E0137F" w:rsidRPr="00082154">
        <w:rPr>
          <w:rFonts w:ascii="Arial" w:eastAsia="Times New Roman" w:hAnsi="Arial" w:cs="Arial"/>
          <w:color w:val="000000"/>
          <w:sz w:val="18"/>
          <w:szCs w:val="18"/>
          <w:lang w:eastAsia="es-AR"/>
        </w:rPr>
        <w:t>isquémico</w:t>
      </w:r>
      <w:r w:rsidRPr="00082154">
        <w:rPr>
          <w:rFonts w:ascii="Arial" w:eastAsia="Times New Roman" w:hAnsi="Arial" w:cs="Arial"/>
          <w:color w:val="000000"/>
          <w:sz w:val="18"/>
          <w:szCs w:val="18"/>
          <w:lang w:eastAsia="es-AR"/>
        </w:rPr>
        <w:t xml:space="preserve"> agudo del postoperatorio.</w:t>
      </w:r>
    </w:p>
    <w:p w:rsidR="00082154" w:rsidRPr="00082154" w:rsidRDefault="00082154" w:rsidP="00082154">
      <w:pPr>
        <w:shd w:val="clear" w:color="auto" w:fill="F2F2F2" w:themeFill="background1" w:themeFillShade="F2"/>
        <w:spacing w:after="0" w:line="240" w:lineRule="auto"/>
        <w:rPr>
          <w:rFonts w:ascii="Arial" w:eastAsia="Times New Roman" w:hAnsi="Arial" w:cs="Arial"/>
          <w:color w:val="000000"/>
          <w:sz w:val="18"/>
          <w:szCs w:val="18"/>
          <w:lang w:eastAsia="es-AR"/>
        </w:rPr>
      </w:pPr>
    </w:p>
    <w:p w:rsidR="00082154" w:rsidRPr="00082154" w:rsidRDefault="00082154" w:rsidP="00082154">
      <w:pPr>
        <w:shd w:val="clear" w:color="auto" w:fill="F2F2F2" w:themeFill="background1" w:themeFillShade="F2"/>
        <w:spacing w:after="0" w:line="240" w:lineRule="auto"/>
        <w:rPr>
          <w:rFonts w:ascii="Arial" w:eastAsia="Times New Roman" w:hAnsi="Arial" w:cs="Arial"/>
          <w:b/>
          <w:bCs/>
          <w:color w:val="000000"/>
          <w:sz w:val="18"/>
          <w:szCs w:val="18"/>
          <w:lang w:eastAsia="es-AR"/>
        </w:rPr>
      </w:pPr>
      <w:r w:rsidRPr="00082154">
        <w:rPr>
          <w:rFonts w:ascii="Arial" w:eastAsia="Times New Roman" w:hAnsi="Arial" w:cs="Arial"/>
          <w:b/>
          <w:bCs/>
          <w:color w:val="000000"/>
          <w:sz w:val="18"/>
          <w:szCs w:val="18"/>
          <w:lang w:eastAsia="es-AR"/>
        </w:rPr>
        <w:t>Palabras clave</w:t>
      </w:r>
    </w:p>
    <w:p w:rsidR="00082154" w:rsidRPr="00082154" w:rsidRDefault="00082154" w:rsidP="00082154">
      <w:pPr>
        <w:shd w:val="clear" w:color="auto" w:fill="F2F2F2" w:themeFill="background1" w:themeFillShade="F2"/>
        <w:spacing w:after="0" w:line="240" w:lineRule="auto"/>
        <w:rPr>
          <w:rFonts w:ascii="Arial" w:eastAsia="Times New Roman" w:hAnsi="Arial" w:cs="Arial"/>
          <w:color w:val="000000"/>
          <w:sz w:val="18"/>
          <w:szCs w:val="18"/>
          <w:lang w:eastAsia="es-AR"/>
        </w:rPr>
      </w:pPr>
      <w:r w:rsidRPr="00082154">
        <w:rPr>
          <w:rFonts w:ascii="Arial" w:eastAsia="Times New Roman" w:hAnsi="Arial" w:cs="Arial"/>
          <w:color w:val="000000"/>
          <w:sz w:val="18"/>
          <w:szCs w:val="18"/>
          <w:lang w:eastAsia="es-AR"/>
        </w:rPr>
        <w:t>Troponina, electrocardiograma, cirugía de revascularización miocárdica.</w:t>
      </w:r>
    </w:p>
    <w:p w:rsidR="00082154" w:rsidRPr="00082154" w:rsidRDefault="00082154" w:rsidP="00082154">
      <w:pPr>
        <w:shd w:val="clear" w:color="auto" w:fill="F2F2F2" w:themeFill="background1" w:themeFillShade="F2"/>
        <w:spacing w:after="0" w:line="240" w:lineRule="auto"/>
        <w:rPr>
          <w:rFonts w:ascii="Arial" w:eastAsia="Times New Roman" w:hAnsi="Arial" w:cs="Arial"/>
          <w:b/>
          <w:bCs/>
          <w:color w:val="000000"/>
          <w:sz w:val="18"/>
          <w:szCs w:val="18"/>
          <w:lang w:eastAsia="es-AR"/>
        </w:rPr>
      </w:pPr>
    </w:p>
    <w:p w:rsidR="00082154" w:rsidRPr="00082154" w:rsidRDefault="00082154" w:rsidP="00082154">
      <w:pPr>
        <w:shd w:val="clear" w:color="auto" w:fill="F2F2F2" w:themeFill="background1" w:themeFillShade="F2"/>
        <w:spacing w:after="0" w:line="240" w:lineRule="auto"/>
        <w:rPr>
          <w:rFonts w:ascii="Arial" w:eastAsia="Times New Roman" w:hAnsi="Arial" w:cs="Arial"/>
          <w:b/>
          <w:bCs/>
          <w:color w:val="000000"/>
          <w:sz w:val="18"/>
          <w:szCs w:val="18"/>
          <w:lang w:eastAsia="es-AR"/>
        </w:rPr>
      </w:pPr>
      <w:r w:rsidRPr="00082154">
        <w:rPr>
          <w:rFonts w:ascii="Arial" w:eastAsia="Times New Roman" w:hAnsi="Arial" w:cs="Arial"/>
          <w:b/>
          <w:bCs/>
          <w:color w:val="000000"/>
          <w:sz w:val="18"/>
          <w:szCs w:val="18"/>
          <w:lang w:eastAsia="es-AR"/>
        </w:rPr>
        <w:t>Título en inglés</w:t>
      </w:r>
    </w:p>
    <w:p w:rsidR="00BC0303" w:rsidRPr="00BC0303" w:rsidRDefault="00BC0303" w:rsidP="00082154">
      <w:pPr>
        <w:shd w:val="clear" w:color="auto" w:fill="F2F2F2" w:themeFill="background1" w:themeFillShade="F2"/>
        <w:spacing w:after="0" w:line="240" w:lineRule="auto"/>
        <w:rPr>
          <w:rFonts w:ascii="Arial" w:eastAsia="Times New Roman" w:hAnsi="Arial" w:cs="Arial"/>
          <w:b/>
          <w:bCs/>
          <w:color w:val="000000"/>
          <w:sz w:val="18"/>
          <w:szCs w:val="18"/>
          <w:lang w:eastAsia="es-AR"/>
        </w:rPr>
      </w:pPr>
      <w:r w:rsidRPr="00BC0303">
        <w:rPr>
          <w:rFonts w:ascii="Arial" w:eastAsia="Times New Roman" w:hAnsi="Arial" w:cs="Arial"/>
          <w:b/>
          <w:bCs/>
          <w:color w:val="000000"/>
          <w:sz w:val="18"/>
          <w:szCs w:val="18"/>
          <w:lang w:eastAsia="es-AR"/>
        </w:rPr>
        <w:t>Ultrasensitive T</w:t>
      </w:r>
      <w:r w:rsidR="001864EC">
        <w:rPr>
          <w:rFonts w:ascii="Arial" w:eastAsia="Times New Roman" w:hAnsi="Arial" w:cs="Arial"/>
          <w:b/>
          <w:bCs/>
          <w:color w:val="000000"/>
          <w:sz w:val="18"/>
          <w:szCs w:val="18"/>
          <w:lang w:eastAsia="es-AR"/>
        </w:rPr>
        <w:t>roponin T Release a</w:t>
      </w:r>
      <w:r>
        <w:rPr>
          <w:rFonts w:ascii="Arial" w:eastAsia="Times New Roman" w:hAnsi="Arial" w:cs="Arial"/>
          <w:b/>
          <w:bCs/>
          <w:color w:val="000000"/>
          <w:sz w:val="18"/>
          <w:szCs w:val="18"/>
          <w:lang w:eastAsia="es-AR"/>
        </w:rPr>
        <w:t>fter Myocardial Revascularization S</w:t>
      </w:r>
      <w:r w:rsidRPr="00BC0303">
        <w:rPr>
          <w:rFonts w:ascii="Arial" w:eastAsia="Times New Roman" w:hAnsi="Arial" w:cs="Arial"/>
          <w:b/>
          <w:bCs/>
          <w:color w:val="000000"/>
          <w:sz w:val="18"/>
          <w:szCs w:val="18"/>
          <w:lang w:eastAsia="es-AR"/>
        </w:rPr>
        <w:t>urgery.</w:t>
      </w:r>
    </w:p>
    <w:p w:rsidR="00082154" w:rsidRPr="00BC0303" w:rsidRDefault="00082154" w:rsidP="00082154">
      <w:pPr>
        <w:shd w:val="clear" w:color="auto" w:fill="F2F2F2" w:themeFill="background1" w:themeFillShade="F2"/>
        <w:spacing w:after="0" w:line="240" w:lineRule="auto"/>
        <w:rPr>
          <w:rFonts w:ascii="Arial" w:eastAsia="Times New Roman" w:hAnsi="Arial" w:cs="Arial"/>
          <w:color w:val="000000"/>
          <w:sz w:val="18"/>
          <w:szCs w:val="18"/>
          <w:lang w:eastAsia="es-AR"/>
        </w:rPr>
      </w:pPr>
    </w:p>
    <w:p w:rsidR="00082154" w:rsidRPr="00BC0303" w:rsidRDefault="00082154" w:rsidP="001864EC">
      <w:pPr>
        <w:shd w:val="clear" w:color="auto" w:fill="F2F2F2" w:themeFill="background1" w:themeFillShade="F2"/>
        <w:spacing w:after="0" w:line="240" w:lineRule="auto"/>
        <w:rPr>
          <w:rFonts w:ascii="Arial" w:eastAsia="Times New Roman" w:hAnsi="Arial" w:cs="Arial"/>
          <w:b/>
          <w:bCs/>
          <w:color w:val="000000"/>
          <w:sz w:val="18"/>
          <w:szCs w:val="18"/>
          <w:lang w:val="en-US" w:eastAsia="es-AR"/>
        </w:rPr>
      </w:pPr>
      <w:r w:rsidRPr="00BC0303">
        <w:rPr>
          <w:rFonts w:ascii="Arial" w:eastAsia="Times New Roman" w:hAnsi="Arial" w:cs="Arial"/>
          <w:b/>
          <w:bCs/>
          <w:color w:val="000000"/>
          <w:sz w:val="18"/>
          <w:szCs w:val="18"/>
          <w:lang w:val="en-US" w:eastAsia="es-AR"/>
        </w:rPr>
        <w:t>Abstract</w:t>
      </w:r>
    </w:p>
    <w:p w:rsidR="001864EC" w:rsidRPr="00965674" w:rsidRDefault="001864EC" w:rsidP="001864EC">
      <w:pPr>
        <w:shd w:val="clear" w:color="auto" w:fill="F2F2F2" w:themeFill="background1" w:themeFillShade="F2"/>
        <w:spacing w:after="0" w:line="240" w:lineRule="auto"/>
        <w:rPr>
          <w:rFonts w:ascii="Arial" w:eastAsia="Times New Roman" w:hAnsi="Arial" w:cs="Arial"/>
          <w:color w:val="000000"/>
          <w:sz w:val="18"/>
          <w:szCs w:val="18"/>
          <w:lang w:val="en-US" w:eastAsia="es-AR"/>
        </w:rPr>
      </w:pPr>
      <w:r w:rsidRPr="00965674">
        <w:rPr>
          <w:rFonts w:ascii="Arial" w:eastAsia="Times New Roman" w:hAnsi="Arial" w:cs="Arial"/>
          <w:color w:val="000000"/>
          <w:sz w:val="18"/>
          <w:szCs w:val="18"/>
          <w:lang w:val="en-US" w:eastAsia="es-AR"/>
        </w:rPr>
        <w:t>Objectives: To describe the release of high-sensitivity troponin T (</w:t>
      </w:r>
      <w:proofErr w:type="gramStart"/>
      <w:r w:rsidRPr="00965674">
        <w:rPr>
          <w:rFonts w:ascii="Arial" w:eastAsia="Times New Roman" w:hAnsi="Arial" w:cs="Arial"/>
          <w:color w:val="000000"/>
          <w:sz w:val="18"/>
          <w:szCs w:val="18"/>
          <w:lang w:val="en-US" w:eastAsia="es-AR"/>
        </w:rPr>
        <w:t>TnTs</w:t>
      </w:r>
      <w:proofErr w:type="gramEnd"/>
      <w:r w:rsidRPr="00965674">
        <w:rPr>
          <w:rFonts w:ascii="Arial" w:eastAsia="Times New Roman" w:hAnsi="Arial" w:cs="Arial"/>
          <w:color w:val="000000"/>
          <w:sz w:val="18"/>
          <w:szCs w:val="18"/>
          <w:lang w:val="en-US" w:eastAsia="es-AR"/>
        </w:rPr>
        <w:t>) and myocardial fraction of creatine phosphokinase (CPK-MB) in the first postoperative hours after myocardial revascularization surgery and to study whether there is an association between their increase and the appearance of changes suggestive of myocardial ischemia in the electrocardiogram.</w:t>
      </w:r>
    </w:p>
    <w:p w:rsidR="001864EC" w:rsidRPr="00965674" w:rsidRDefault="001864EC" w:rsidP="001864EC">
      <w:pPr>
        <w:shd w:val="clear" w:color="auto" w:fill="F2F2F2" w:themeFill="background1" w:themeFillShade="F2"/>
        <w:spacing w:after="0" w:line="240" w:lineRule="auto"/>
        <w:rPr>
          <w:rFonts w:ascii="Arial" w:eastAsia="Times New Roman" w:hAnsi="Arial" w:cs="Arial"/>
          <w:color w:val="000000"/>
          <w:sz w:val="18"/>
          <w:szCs w:val="18"/>
          <w:lang w:val="en-US" w:eastAsia="es-AR"/>
        </w:rPr>
      </w:pPr>
      <w:r w:rsidRPr="00965674">
        <w:rPr>
          <w:rFonts w:ascii="Arial" w:eastAsia="Times New Roman" w:hAnsi="Arial" w:cs="Arial"/>
          <w:color w:val="000000"/>
          <w:sz w:val="18"/>
          <w:szCs w:val="18"/>
          <w:lang w:val="en-US" w:eastAsia="es-AR"/>
        </w:rPr>
        <w:t>Material and Methods: 152 patients undergoing myocardial revascularization surgery from October 2020 to July 2024 were included. The baseline characteristics of the population were described and different variables were analyzed in relation to the events observed at the time of surgery and during the postoperative period. Biomarker measurements were taken preoperatively, upon admission to intensive care, after one hour and the following morning, and the release curve was also described in different clinical scenarios.</w:t>
      </w:r>
    </w:p>
    <w:p w:rsidR="001864EC" w:rsidRPr="00965674" w:rsidRDefault="001864EC" w:rsidP="001864EC">
      <w:pPr>
        <w:shd w:val="clear" w:color="auto" w:fill="F2F2F2" w:themeFill="background1" w:themeFillShade="F2"/>
        <w:rPr>
          <w:sz w:val="24"/>
          <w:szCs w:val="24"/>
          <w:lang w:val="en-US"/>
        </w:rPr>
      </w:pPr>
      <w:r w:rsidRPr="00965674">
        <w:rPr>
          <w:rFonts w:ascii="Arial" w:eastAsia="Times New Roman" w:hAnsi="Arial" w:cs="Arial"/>
          <w:color w:val="000000"/>
          <w:sz w:val="18"/>
          <w:szCs w:val="18"/>
          <w:lang w:val="en-US" w:eastAsia="es-AR"/>
        </w:rPr>
        <w:lastRenderedPageBreak/>
        <w:t>Results: In the preoperative measurement</w:t>
      </w:r>
      <w:r>
        <w:rPr>
          <w:rFonts w:ascii="Arial" w:eastAsia="Times New Roman" w:hAnsi="Arial" w:cs="Arial"/>
          <w:color w:val="000000"/>
          <w:sz w:val="18"/>
          <w:szCs w:val="18"/>
          <w:lang w:val="en-US" w:eastAsia="es-AR"/>
        </w:rPr>
        <w:t>,</w:t>
      </w:r>
      <w:r w:rsidRPr="00965674">
        <w:rPr>
          <w:rFonts w:ascii="Arial" w:eastAsia="Times New Roman" w:hAnsi="Arial" w:cs="Arial"/>
          <w:color w:val="000000"/>
          <w:sz w:val="18"/>
          <w:szCs w:val="18"/>
          <w:lang w:val="en-US" w:eastAsia="es-AR"/>
        </w:rPr>
        <w:t xml:space="preserve"> 81 patients (53.2%) showed elevated </w:t>
      </w:r>
      <w:proofErr w:type="gramStart"/>
      <w:r w:rsidRPr="00965674">
        <w:rPr>
          <w:rFonts w:ascii="Arial" w:eastAsia="Times New Roman" w:hAnsi="Arial" w:cs="Arial"/>
          <w:color w:val="000000"/>
          <w:sz w:val="18"/>
          <w:szCs w:val="18"/>
          <w:lang w:val="en-US" w:eastAsia="es-AR"/>
        </w:rPr>
        <w:t>TnTs</w:t>
      </w:r>
      <w:proofErr w:type="gramEnd"/>
      <w:r w:rsidRPr="00965674">
        <w:rPr>
          <w:rFonts w:ascii="Arial" w:eastAsia="Times New Roman" w:hAnsi="Arial" w:cs="Arial"/>
          <w:color w:val="000000"/>
          <w:sz w:val="18"/>
          <w:szCs w:val="18"/>
          <w:lang w:val="en-US" w:eastAsia="es-AR"/>
        </w:rPr>
        <w:t xml:space="preserve"> values; however, their postoperative values did not differ from those of patients who exhibited normal TnTs preoperatively.</w:t>
      </w:r>
      <w:r w:rsidRPr="00965674">
        <w:rPr>
          <w:rFonts w:ascii="Arial" w:eastAsia="Times New Roman" w:hAnsi="Arial" w:cs="Arial"/>
          <w:color w:val="000000"/>
          <w:sz w:val="18"/>
          <w:szCs w:val="18"/>
          <w:lang w:val="en-US" w:eastAsia="es-AR"/>
        </w:rPr>
        <w:br/>
        <w:t xml:space="preserve">The release of </w:t>
      </w:r>
      <w:proofErr w:type="gramStart"/>
      <w:r w:rsidRPr="00965674">
        <w:rPr>
          <w:rFonts w:ascii="Arial" w:eastAsia="Times New Roman" w:hAnsi="Arial" w:cs="Arial"/>
          <w:color w:val="000000"/>
          <w:sz w:val="18"/>
          <w:szCs w:val="18"/>
          <w:lang w:val="en-US" w:eastAsia="es-AR"/>
        </w:rPr>
        <w:t>TnTs</w:t>
      </w:r>
      <w:proofErr w:type="gramEnd"/>
      <w:r w:rsidRPr="00965674">
        <w:rPr>
          <w:rFonts w:ascii="Arial" w:eastAsia="Times New Roman" w:hAnsi="Arial" w:cs="Arial"/>
          <w:color w:val="000000"/>
          <w:sz w:val="18"/>
          <w:szCs w:val="18"/>
          <w:lang w:val="en-US" w:eastAsia="es-AR"/>
        </w:rPr>
        <w:t xml:space="preserve"> was higher in patients with electrocardiographic signs of SIAP on admission to the ICU and at the time of admission, in contrast to CPK-MB, which only reached statistical significance on admission. Although in patients with ST-segment elevation there seems to be a tendency to a greater release of </w:t>
      </w:r>
      <w:proofErr w:type="gramStart"/>
      <w:r w:rsidRPr="00965674">
        <w:rPr>
          <w:rFonts w:ascii="Arial" w:eastAsia="Times New Roman" w:hAnsi="Arial" w:cs="Arial"/>
          <w:color w:val="000000"/>
          <w:sz w:val="18"/>
          <w:szCs w:val="18"/>
          <w:lang w:val="en-US" w:eastAsia="es-AR"/>
        </w:rPr>
        <w:t>TnTs</w:t>
      </w:r>
      <w:proofErr w:type="gramEnd"/>
      <w:r w:rsidRPr="00965674">
        <w:rPr>
          <w:rFonts w:ascii="Arial" w:eastAsia="Times New Roman" w:hAnsi="Arial" w:cs="Arial"/>
          <w:color w:val="000000"/>
          <w:sz w:val="18"/>
          <w:szCs w:val="18"/>
          <w:lang w:val="en-US" w:eastAsia="es-AR"/>
        </w:rPr>
        <w:t xml:space="preserve"> (mainly on admission), no significant differences were found between the different electrocardiographic alterations, as was the case with CPK-MB.</w:t>
      </w:r>
      <w:r w:rsidRPr="00965674">
        <w:rPr>
          <w:rFonts w:ascii="Arial" w:eastAsia="Times New Roman" w:hAnsi="Arial" w:cs="Arial"/>
          <w:color w:val="000000"/>
          <w:sz w:val="18"/>
          <w:szCs w:val="18"/>
          <w:lang w:val="en-US" w:eastAsia="es-AR"/>
        </w:rPr>
        <w:br/>
        <w:t>Conclusions: Our evidence suggests that values exceeding 34 times the upper normal limit for a non-operated patient upon admission to the critical care unit and 40 times the upper normal limit for a non-operated patient at the time of admission may be more indicative for the diagnosis of acute ischemic syndrome postoperatively</w:t>
      </w:r>
      <w:r>
        <w:rPr>
          <w:rFonts w:ascii="Arial" w:eastAsia="Times New Roman" w:hAnsi="Arial" w:cs="Arial"/>
          <w:color w:val="000000"/>
          <w:sz w:val="18"/>
          <w:szCs w:val="18"/>
          <w:lang w:val="en-US" w:eastAsia="es-AR"/>
        </w:rPr>
        <w:t>.</w:t>
      </w:r>
    </w:p>
    <w:p w:rsidR="00082154" w:rsidRPr="00082154" w:rsidRDefault="00082154" w:rsidP="001864EC">
      <w:pPr>
        <w:shd w:val="clear" w:color="auto" w:fill="F2F2F2" w:themeFill="background1" w:themeFillShade="F2"/>
        <w:spacing w:after="0" w:line="240" w:lineRule="auto"/>
        <w:rPr>
          <w:rFonts w:ascii="Arial" w:eastAsia="Times New Roman" w:hAnsi="Arial" w:cs="Arial"/>
          <w:b/>
          <w:bCs/>
          <w:color w:val="000000"/>
          <w:sz w:val="18"/>
          <w:szCs w:val="18"/>
          <w:lang w:eastAsia="es-AR"/>
        </w:rPr>
      </w:pPr>
      <w:r w:rsidRPr="00082154">
        <w:rPr>
          <w:rFonts w:ascii="Arial" w:eastAsia="Times New Roman" w:hAnsi="Arial" w:cs="Arial"/>
          <w:b/>
          <w:bCs/>
          <w:color w:val="000000"/>
          <w:sz w:val="18"/>
          <w:szCs w:val="18"/>
          <w:lang w:eastAsia="es-AR"/>
        </w:rPr>
        <w:t>Keywords</w:t>
      </w:r>
    </w:p>
    <w:p w:rsidR="00572356" w:rsidRPr="00BC0303" w:rsidRDefault="001864EC" w:rsidP="001864EC">
      <w:pPr>
        <w:shd w:val="clear" w:color="auto" w:fill="F2F2F2" w:themeFill="background1" w:themeFillShade="F2"/>
        <w:spacing w:after="0" w:line="240" w:lineRule="auto"/>
        <w:rPr>
          <w:rFonts w:ascii="Arial" w:eastAsia="Times New Roman" w:hAnsi="Arial" w:cs="Arial"/>
          <w:color w:val="000000"/>
          <w:sz w:val="18"/>
          <w:szCs w:val="18"/>
          <w:lang w:eastAsia="es-AR"/>
        </w:rPr>
      </w:pPr>
      <w:r>
        <w:rPr>
          <w:rFonts w:ascii="Arial" w:eastAsia="Times New Roman" w:hAnsi="Arial" w:cs="Arial"/>
          <w:color w:val="000000"/>
          <w:sz w:val="18"/>
          <w:szCs w:val="18"/>
          <w:lang w:eastAsia="es-AR"/>
        </w:rPr>
        <w:t>Troponin; electrocardiogram; m</w:t>
      </w:r>
      <w:r w:rsidR="00082154" w:rsidRPr="00082154">
        <w:rPr>
          <w:rFonts w:ascii="Arial" w:eastAsia="Times New Roman" w:hAnsi="Arial" w:cs="Arial"/>
          <w:color w:val="000000"/>
          <w:sz w:val="18"/>
          <w:szCs w:val="18"/>
          <w:lang w:eastAsia="es-AR"/>
        </w:rPr>
        <w:t>yocardial revascularization surgery</w:t>
      </w:r>
      <w:r w:rsidR="00572356" w:rsidRPr="00BC0303">
        <w:rPr>
          <w:rFonts w:ascii="Arial" w:eastAsia="Times New Roman" w:hAnsi="Arial" w:cs="Arial"/>
          <w:color w:val="000000"/>
          <w:sz w:val="18"/>
          <w:szCs w:val="18"/>
          <w:lang w:eastAsia="es-AR"/>
        </w:rPr>
        <w:t>.</w:t>
      </w:r>
    </w:p>
    <w:p w:rsidR="00D02BE3" w:rsidRPr="00BC0303" w:rsidRDefault="00D02BE3" w:rsidP="001864EC">
      <w:pPr>
        <w:shd w:val="clear" w:color="auto" w:fill="F2F2F2" w:themeFill="background1" w:themeFillShade="F2"/>
        <w:spacing w:after="0" w:line="240" w:lineRule="auto"/>
        <w:rPr>
          <w:rFonts w:ascii="Arial" w:eastAsia="Times New Roman" w:hAnsi="Arial" w:cs="Arial"/>
          <w:color w:val="000000"/>
          <w:sz w:val="18"/>
          <w:szCs w:val="18"/>
          <w:lang w:eastAsia="es-AR"/>
        </w:rPr>
      </w:pPr>
    </w:p>
    <w:p w:rsidR="007D2C8F" w:rsidRPr="00BC0303" w:rsidRDefault="007D2C8F" w:rsidP="007D2C8F">
      <w:pPr>
        <w:spacing w:after="0" w:line="240" w:lineRule="auto"/>
        <w:rPr>
          <w:rFonts w:ascii="Arial" w:eastAsia="Times New Roman" w:hAnsi="Arial" w:cs="Arial"/>
          <w:color w:val="000000"/>
          <w:sz w:val="18"/>
          <w:szCs w:val="18"/>
          <w:lang w:eastAsia="es-AR"/>
        </w:rPr>
      </w:pPr>
    </w:p>
    <w:p w:rsidR="007D2C8F" w:rsidRPr="00BC0303" w:rsidRDefault="007D2C8F" w:rsidP="007D2C8F">
      <w:pPr>
        <w:spacing w:after="0" w:line="240" w:lineRule="auto"/>
        <w:rPr>
          <w:rFonts w:ascii="Arial" w:eastAsia="Times New Roman" w:hAnsi="Arial" w:cs="Arial"/>
          <w:color w:val="000000"/>
          <w:sz w:val="18"/>
          <w:szCs w:val="18"/>
          <w:lang w:eastAsia="es-AR"/>
        </w:rPr>
      </w:pPr>
    </w:p>
    <w:p w:rsidR="00961A17" w:rsidRPr="00E25E8D" w:rsidRDefault="00961A17" w:rsidP="00961A17">
      <w:pPr>
        <w:spacing w:after="0" w:line="240" w:lineRule="auto"/>
        <w:rPr>
          <w:rFonts w:ascii="Tahoma" w:eastAsia="Times New Roman" w:hAnsi="Tahoma" w:cs="Tahoma"/>
          <w:b/>
          <w:bCs/>
          <w:color w:val="000000"/>
          <w:sz w:val="18"/>
          <w:szCs w:val="18"/>
          <w:lang w:eastAsia="es-AR"/>
        </w:rPr>
      </w:pPr>
      <w:r w:rsidRPr="00E25E8D">
        <w:rPr>
          <w:rFonts w:ascii="Tahoma" w:eastAsia="Times New Roman" w:hAnsi="Tahoma" w:cs="Tahoma"/>
          <w:b/>
          <w:bCs/>
          <w:color w:val="000000"/>
          <w:sz w:val="18"/>
          <w:szCs w:val="18"/>
          <w:lang w:eastAsia="es-AR"/>
        </w:rPr>
        <w:t>Introducción</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La cirugía cardíaca es un método terapéutico ampliamente reconocido para el tratamiento de algunas cardiopatías. Entre sus complicaciones se cuentan la isquemia miocárdica y el infarto perioperatorio. Si bien son numerosas las investigaciones sobre la necrosis miocárdica asociada a cirugía cardíaca, está claro que cuando está establecida es irreversible y solo queda atender sus consecuencias.</w:t>
      </w:r>
      <w:r w:rsidRPr="006920AC">
        <w:rPr>
          <w:rFonts w:ascii="Arial" w:eastAsia="Times New Roman" w:hAnsi="Arial" w:cs="Arial"/>
          <w:color w:val="000000"/>
          <w:sz w:val="18"/>
          <w:szCs w:val="18"/>
          <w:vertAlign w:val="superscript"/>
          <w:lang w:eastAsia="es-AR"/>
        </w:rPr>
        <w:t>1</w:t>
      </w:r>
      <w:r w:rsidRPr="006920AC">
        <w:rPr>
          <w:rFonts w:ascii="Arial" w:eastAsia="Times New Roman" w:hAnsi="Arial" w:cs="Arial"/>
          <w:color w:val="000000"/>
          <w:sz w:val="18"/>
          <w:szCs w:val="18"/>
          <w:lang w:eastAsia="es-AR"/>
        </w:rPr>
        <w:t> Parece mucho más efectivo el enfoque tendiente a la detección y manejo temprano de la isquemia miocárdica aguda del postoperatorio inmediato, etapa en la cual es posible evitar la progresión al infarto. El diagnóstico de la isquemia aguda perioperatoria en cirugía cardíaca enfrenta desafíos importantes. En muchos casos existen alteraciones electrocardiográficas de otro origen que dificultan su reconocimiento por este método.</w:t>
      </w:r>
      <w:r w:rsidRPr="006920AC">
        <w:rPr>
          <w:rFonts w:ascii="Arial" w:eastAsia="Times New Roman" w:hAnsi="Arial" w:cs="Arial"/>
          <w:color w:val="000000"/>
          <w:sz w:val="18"/>
          <w:szCs w:val="18"/>
          <w:vertAlign w:val="superscript"/>
          <w:lang w:eastAsia="es-AR"/>
        </w:rPr>
        <w:t>2</w:t>
      </w:r>
      <w:r w:rsidRPr="006920AC">
        <w:rPr>
          <w:rFonts w:ascii="Arial" w:eastAsia="Times New Roman" w:hAnsi="Arial" w:cs="Arial"/>
          <w:color w:val="000000"/>
          <w:sz w:val="18"/>
          <w:szCs w:val="18"/>
          <w:lang w:eastAsia="es-AR"/>
        </w:rPr>
        <w:t> Por otro lado, los biomarcadores de injuria miocárdica como la fracción miocárdica de la creatínfosfoquinasa (CPK-MB) y las troponinas T e I se elevan en todos los pacientes dependiendo de la técnica quirúrgica y del tiempo de isquemia transcurrido.</w:t>
      </w:r>
      <w:r w:rsidRPr="006920AC">
        <w:rPr>
          <w:rFonts w:ascii="Arial" w:eastAsia="Times New Roman" w:hAnsi="Arial" w:cs="Arial"/>
          <w:color w:val="000000"/>
          <w:sz w:val="18"/>
          <w:szCs w:val="18"/>
          <w:vertAlign w:val="superscript"/>
          <w:lang w:eastAsia="es-AR"/>
        </w:rPr>
        <w:t>3</w:t>
      </w:r>
      <w:r w:rsidRPr="006920AC">
        <w:rPr>
          <w:rFonts w:ascii="Arial" w:eastAsia="Times New Roman" w:hAnsi="Arial" w:cs="Arial"/>
          <w:color w:val="000000"/>
          <w:sz w:val="18"/>
          <w:szCs w:val="18"/>
          <w:lang w:eastAsia="es-AR"/>
        </w:rPr>
        <w:t> No hemos encontrado datos en la bibliografía que describan la liberación de troponina T, medida con el método ultrasensible (TnTs) en la primera hora de postoperatorio de una cirugía cardíaca. El grado de elevación de sus valores en esta ventana de tiempo y su relación con otros elementos diagnósticos, como el electrocardiograma (ECG), son claves para detectar y revertir la isquemia miocárdica.</w:t>
      </w:r>
    </w:p>
    <w:p w:rsidR="00082154" w:rsidRPr="006920AC" w:rsidRDefault="00082154" w:rsidP="00082154">
      <w:pPr>
        <w:spacing w:after="0" w:line="288" w:lineRule="atLeast"/>
        <w:jc w:val="right"/>
        <w:rPr>
          <w:rFonts w:ascii="Arial" w:eastAsia="Times New Roman" w:hAnsi="Arial" w:cs="Arial"/>
          <w:color w:val="666666"/>
          <w:sz w:val="18"/>
          <w:szCs w:val="18"/>
          <w:lang w:eastAsia="es-AR"/>
        </w:rPr>
      </w:pP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Objetivos</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Los objetivos de este estudio fueron describir la liberación de TnTs y CPK-MB en las primeras horas del postoperatorio de cirugía de revascularización miocárdica y estudiar si existe asociación entre el aumento de los mismos y la aparición de cambios sugestivos de isquemia miocárdica en el electrocardiograma.</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Material o población y métodos</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Se realizó un estudio descriptivo y prospectivo de una base de datos que incluyó a todos los pacientes sometidos a cirugía de revascularización miocárdica entre octubre de 2020 hasta julio de 2024 en el Instituto Cardiovascular de Rosario.</w:t>
      </w:r>
      <w:r w:rsidRPr="006920AC">
        <w:rPr>
          <w:rFonts w:ascii="Arial" w:eastAsia="Times New Roman" w:hAnsi="Arial" w:cs="Arial"/>
          <w:color w:val="000000"/>
          <w:sz w:val="18"/>
          <w:szCs w:val="18"/>
          <w:lang w:eastAsia="es-AR"/>
        </w:rPr>
        <w:br/>
        <w:t>La troponina T cardíaca se midió mediante el ensayo TnTs (Elecsys de Roche). Se tomó como límite superior normal de un paciente no operado (LSNPNO) de TnTs a 14 ng/L. La CPK-MB se midió mediante el ensayo Covas 501. Se tomó como LSNPNO de CK-MB a 25 U/L.</w:t>
      </w:r>
      <w:r w:rsidRPr="006920AC">
        <w:rPr>
          <w:rFonts w:ascii="Arial" w:eastAsia="Times New Roman" w:hAnsi="Arial" w:cs="Arial"/>
          <w:color w:val="000000"/>
          <w:sz w:val="18"/>
          <w:szCs w:val="18"/>
          <w:lang w:eastAsia="es-AR"/>
        </w:rPr>
        <w:br/>
        <w:t>Se realizaron las siguientes mediciones de biomarcadores:</w:t>
      </w:r>
      <w:r w:rsidRPr="006920AC">
        <w:rPr>
          <w:rFonts w:ascii="Arial" w:eastAsia="Times New Roman" w:hAnsi="Arial" w:cs="Arial"/>
          <w:color w:val="000000"/>
          <w:sz w:val="18"/>
          <w:szCs w:val="18"/>
          <w:lang w:eastAsia="es-AR"/>
        </w:rPr>
        <w:br/>
        <w:t>-TnTs preoperatoria, al ingreso a sala de cuidados intensivos, a la hora del ingreso y en la mañana del primer día postoperatorio.</w:t>
      </w:r>
      <w:r w:rsidRPr="006920AC">
        <w:rPr>
          <w:rFonts w:ascii="Arial" w:eastAsia="Times New Roman" w:hAnsi="Arial" w:cs="Arial"/>
          <w:color w:val="000000"/>
          <w:sz w:val="18"/>
          <w:szCs w:val="18"/>
          <w:lang w:eastAsia="es-AR"/>
        </w:rPr>
        <w:br/>
        <w:t>-CPK-MB al ingreso a sala de cuidados intensivos, a la hora del ingreso y en la mañana del primer día postoperatorio.</w:t>
      </w:r>
      <w:r w:rsidRPr="006920AC">
        <w:rPr>
          <w:rFonts w:ascii="Arial" w:eastAsia="Times New Roman" w:hAnsi="Arial" w:cs="Arial"/>
          <w:color w:val="000000"/>
          <w:sz w:val="18"/>
          <w:szCs w:val="18"/>
          <w:lang w:eastAsia="es-AR"/>
        </w:rPr>
        <w:br/>
        <w:t>Se describieron las características basales de la población como sexo, edad, score de riesgo preoperatorio (Euroscore), el tiempo de circulación extracorpórea y de pinzamiento aórtico, dificultad en la salida de bomba (definida como requerimiento de Dopamina 5 mcg/Kg/min o equivalente), alteraciones en el electrocardiograma al ingreso a la sala de cuidados intensivos, al cumplirse la primer y la segunda hora de postoperatorio y en la mañana siguiente, número de complicaciones postoperatorias, necesidad de reintervención quirúrgica, tiempo de estadía en unidad de cuidados intensivos (UCI), muerte en cuidados intensivos y muerte intrahospitalaria.</w:t>
      </w:r>
      <w:r w:rsidRPr="006920AC">
        <w:rPr>
          <w:rFonts w:ascii="Arial" w:eastAsia="Times New Roman" w:hAnsi="Arial" w:cs="Arial"/>
          <w:color w:val="000000"/>
          <w:sz w:val="18"/>
          <w:szCs w:val="18"/>
          <w:lang w:eastAsia="es-AR"/>
        </w:rPr>
        <w:br/>
        <w:t>Se analizaron también la presencia de nuevas alteraciones en la motilidad parietal en el ecocardiograma y de lesiones nuevas en la cinecoronariografía realizada de urgencia en el postoperatorio inmediato.</w:t>
      </w:r>
      <w:r w:rsidRPr="006920AC">
        <w:rPr>
          <w:rFonts w:ascii="Arial" w:eastAsia="Times New Roman" w:hAnsi="Arial" w:cs="Arial"/>
          <w:color w:val="000000"/>
          <w:sz w:val="18"/>
          <w:szCs w:val="18"/>
          <w:lang w:eastAsia="es-AR"/>
        </w:rPr>
        <w:br/>
        <w:t>Se registraron los datos en formularios digitales y posteriormente se trasladaron a planillas de Excel®.</w:t>
      </w:r>
      <w:r w:rsidRPr="006920AC">
        <w:rPr>
          <w:rFonts w:ascii="Arial" w:eastAsia="Times New Roman" w:hAnsi="Arial" w:cs="Arial"/>
          <w:color w:val="000000"/>
          <w:sz w:val="18"/>
          <w:szCs w:val="18"/>
          <w:lang w:eastAsia="es-AR"/>
        </w:rPr>
        <w:br/>
        <w:t>Las variables continuas se resumieron siendo los estadísticos de tendencia central y de dispersión a utilizar la mediana (M) y los cuartilos (C), la media (x), el desvío estándar (DS), el intervalo de confianza del 95 % (IC 95 %), limite interno superior (LIS), limite externo superior (LES) y rango intercuartilo (RIC). Las variables discretas se presentaron como frecuencias y porcentajes. Para hallar la significación de las diferencias se utilizaron pruebas como el Test de Student y el de Kruskal-Wallis en variables continuas. El alfa del estudio se fijó en 0,05.</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Resultados</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Se incluyeron 152 pacientes consecutivos, a quienes se les realizó cirugía de revascularización miocárdica desde octubre de 2020 hasta julio de 2024. Se muestran las ca</w:t>
      </w:r>
      <w:r w:rsidR="00E0137F">
        <w:rPr>
          <w:rFonts w:ascii="Arial" w:eastAsia="Times New Roman" w:hAnsi="Arial" w:cs="Arial"/>
          <w:color w:val="000000"/>
          <w:sz w:val="18"/>
          <w:szCs w:val="18"/>
          <w:lang w:eastAsia="es-AR"/>
        </w:rPr>
        <w:t>racterísticas de los pacientes en la Tabla 1</w:t>
      </w:r>
      <w:r w:rsidRPr="006920AC">
        <w:rPr>
          <w:rFonts w:ascii="Arial" w:eastAsia="Times New Roman" w:hAnsi="Arial" w:cs="Arial"/>
          <w:color w:val="000000"/>
          <w:sz w:val="18"/>
          <w:szCs w:val="18"/>
          <w:lang w:eastAsia="es-AR"/>
        </w:rPr>
        <w:t>.</w:t>
      </w:r>
      <w:r w:rsidRPr="006920AC">
        <w:rPr>
          <w:rFonts w:ascii="Arial" w:eastAsia="Times New Roman" w:hAnsi="Arial" w:cs="Arial"/>
          <w:color w:val="000000"/>
          <w:sz w:val="18"/>
          <w:szCs w:val="18"/>
          <w:lang w:eastAsia="es-AR"/>
        </w:rPr>
        <w:br/>
      </w:r>
      <w:r w:rsidRPr="006920AC">
        <w:rPr>
          <w:rFonts w:ascii="Arial" w:eastAsia="Times New Roman" w:hAnsi="Arial" w:cs="Arial"/>
          <w:color w:val="000000"/>
          <w:sz w:val="18"/>
          <w:szCs w:val="18"/>
          <w:lang w:eastAsia="es-AR"/>
        </w:rPr>
        <w:br/>
      </w:r>
      <w:r w:rsidRPr="006920AC">
        <w:rPr>
          <w:rFonts w:ascii="Arial" w:eastAsia="Times New Roman" w:hAnsi="Arial" w:cs="Arial"/>
          <w:color w:val="000000"/>
          <w:sz w:val="18"/>
          <w:szCs w:val="18"/>
          <w:lang w:eastAsia="es-AR"/>
        </w:rPr>
        <w:lastRenderedPageBreak/>
        <w:t>Liberación de TnTs:</w:t>
      </w:r>
      <w:r w:rsidRPr="006920AC">
        <w:rPr>
          <w:rFonts w:ascii="Arial" w:eastAsia="Times New Roman" w:hAnsi="Arial" w:cs="Arial"/>
          <w:color w:val="000000"/>
          <w:sz w:val="18"/>
          <w:szCs w:val="18"/>
          <w:lang w:eastAsia="es-AR"/>
        </w:rPr>
        <w:br/>
        <w:t>En la medición preoperatoria 81 pacientes (53,2 %) mostraron valores elevados (M 24, RIC 31,5); sin embargo, sus valores al ingreso a UCI, en la primera hora del ingreso y en el primer día del ingreso no mostraron diferencias (p=0,47, p=0,82, p=0,83) con los de los pacientes que exhibieron TnTs normal en el preoperatorio.</w:t>
      </w:r>
      <w:r w:rsidRPr="006920AC">
        <w:rPr>
          <w:rFonts w:ascii="Arial" w:eastAsia="Times New Roman" w:hAnsi="Arial" w:cs="Arial"/>
          <w:color w:val="000000"/>
          <w:sz w:val="18"/>
          <w:szCs w:val="18"/>
          <w:lang w:eastAsia="es-AR"/>
        </w:rPr>
        <w:br/>
        <w:t xml:space="preserve">Se muestran los valores de TnTs por encima de la M hasta el </w:t>
      </w:r>
      <w:r>
        <w:rPr>
          <w:rFonts w:ascii="Arial" w:eastAsia="Times New Roman" w:hAnsi="Arial" w:cs="Arial"/>
          <w:color w:val="000000"/>
          <w:sz w:val="18"/>
          <w:szCs w:val="18"/>
          <w:lang w:eastAsia="es-AR"/>
        </w:rPr>
        <w:t>cuarto</w:t>
      </w:r>
      <w:r w:rsidRPr="006920AC">
        <w:rPr>
          <w:rFonts w:ascii="Arial" w:eastAsia="Times New Roman" w:hAnsi="Arial" w:cs="Arial"/>
          <w:color w:val="000000"/>
          <w:sz w:val="18"/>
          <w:szCs w:val="18"/>
          <w:lang w:eastAsia="es-AR"/>
        </w:rPr>
        <w:t xml:space="preserve"> cuartilo (Figura 1). Además de los valores absolutos se exhiben sus equivalentes en número de veces el LSNPNO y en los rectángulos, el porcentaje de pacientes ubicados entre los estratos (mediana-3º C, 3º C-LIS, LIS-LES, LES-4º C). En los 16 pacientes operados sin circulación extracorpórea (CEC) la M en valores absolutos de TnTs fueron: al ingreso a UCI 168, a la hora del ingreso 210 y en el primer día postoperatorio 266. Esto representó 12, 15 y 19 veces, respectivamente, el LSNPNO,</w:t>
      </w:r>
      <w:r w:rsidR="00E0137F">
        <w:rPr>
          <w:rFonts w:ascii="Arial" w:eastAsia="Times New Roman" w:hAnsi="Arial" w:cs="Arial"/>
          <w:color w:val="000000"/>
          <w:sz w:val="18"/>
          <w:szCs w:val="18"/>
          <w:lang w:eastAsia="es-AR"/>
        </w:rPr>
        <w:t xml:space="preserve"> en los 3 momentos mencionados.</w:t>
      </w:r>
      <w:r w:rsidRPr="006920AC">
        <w:rPr>
          <w:rFonts w:ascii="Arial" w:eastAsia="Times New Roman" w:hAnsi="Arial" w:cs="Arial"/>
          <w:color w:val="000000"/>
          <w:sz w:val="18"/>
          <w:szCs w:val="18"/>
          <w:lang w:eastAsia="es-AR"/>
        </w:rPr>
        <w:br/>
        <w:t>Liberación de CPK-MB:</w:t>
      </w:r>
      <w:r w:rsidRPr="006920AC">
        <w:rPr>
          <w:rFonts w:ascii="Arial" w:eastAsia="Times New Roman" w:hAnsi="Arial" w:cs="Arial"/>
          <w:color w:val="000000"/>
          <w:sz w:val="18"/>
          <w:szCs w:val="18"/>
          <w:lang w:eastAsia="es-AR"/>
        </w:rPr>
        <w:br/>
        <w:t xml:space="preserve">Se muestran los valores de CPK-MB por encima de la M hasta el </w:t>
      </w:r>
      <w:r>
        <w:rPr>
          <w:rFonts w:ascii="Arial" w:eastAsia="Times New Roman" w:hAnsi="Arial" w:cs="Arial"/>
          <w:color w:val="000000"/>
          <w:sz w:val="18"/>
          <w:szCs w:val="18"/>
          <w:lang w:eastAsia="es-AR"/>
        </w:rPr>
        <w:t>cuarto</w:t>
      </w:r>
      <w:r w:rsidRPr="006920AC">
        <w:rPr>
          <w:rFonts w:ascii="Arial" w:eastAsia="Times New Roman" w:hAnsi="Arial" w:cs="Arial"/>
          <w:color w:val="000000"/>
          <w:sz w:val="18"/>
          <w:szCs w:val="18"/>
          <w:lang w:eastAsia="es-AR"/>
        </w:rPr>
        <w:t xml:space="preserve"> cuartilo (Figura 2). Además de los valores absolutos se exhiben sus equivalentes en número de veces el límite superior del valor normal de un paciente no operado y en los rectángulos, el porcentaje de pacientes ubicados entre los estratos (mediana-3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ºC-LIS, LIS-LES, LES-4</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En los 16 pacientes operados sin CEC la M en valores absolutos de CPK-MB fueron: al ingreso a UCI 23, a la hora del ingreso 22 y en el primer día postoperatorio 27. Esto representó 0,9, 0,9 y 1 veces, respectivamente, el LSNPNO, en los 3</w:t>
      </w:r>
      <w:r>
        <w:rPr>
          <w:rFonts w:ascii="Arial" w:eastAsia="Times New Roman" w:hAnsi="Arial" w:cs="Arial"/>
          <w:color w:val="000000"/>
          <w:sz w:val="18"/>
          <w:szCs w:val="18"/>
          <w:lang w:eastAsia="es-AR"/>
        </w:rPr>
        <w:t xml:space="preserve"> momentos mencionados.</w:t>
      </w:r>
      <w:r w:rsidRPr="006920AC">
        <w:rPr>
          <w:rFonts w:ascii="Arial" w:eastAsia="Times New Roman" w:hAnsi="Arial" w:cs="Arial"/>
          <w:color w:val="000000"/>
          <w:sz w:val="18"/>
          <w:szCs w:val="18"/>
          <w:lang w:eastAsia="es-AR"/>
        </w:rPr>
        <w:br/>
        <w:t>Alteraciones electrocardiográficas:</w:t>
      </w:r>
      <w:r w:rsidRPr="006920AC">
        <w:rPr>
          <w:rFonts w:ascii="Arial" w:eastAsia="Times New Roman" w:hAnsi="Arial" w:cs="Arial"/>
          <w:color w:val="000000"/>
          <w:sz w:val="18"/>
          <w:szCs w:val="18"/>
          <w:lang w:eastAsia="es-AR"/>
        </w:rPr>
        <w:br/>
        <w:t>Se muestran el número de pacientes con alteraciones electrocardiográficas y el tipo de estas que presentaron al momento del ingreso a la unidad de cuidados intensivos, a la hora y a las 2</w:t>
      </w:r>
      <w:r w:rsidR="00E0137F">
        <w:rPr>
          <w:rFonts w:ascii="Arial" w:eastAsia="Times New Roman" w:hAnsi="Arial" w:cs="Arial"/>
          <w:color w:val="000000"/>
          <w:sz w:val="18"/>
          <w:szCs w:val="18"/>
          <w:lang w:eastAsia="es-AR"/>
        </w:rPr>
        <w:t xml:space="preserve"> horas de su ingreso (Tabla 2).</w:t>
      </w:r>
      <w:r w:rsidRPr="006920AC">
        <w:rPr>
          <w:rFonts w:ascii="Arial" w:eastAsia="Times New Roman" w:hAnsi="Arial" w:cs="Arial"/>
          <w:color w:val="000000"/>
          <w:sz w:val="18"/>
          <w:szCs w:val="18"/>
          <w:lang w:eastAsia="es-AR"/>
        </w:rPr>
        <w:br/>
        <w:t>Alteraciones ecocardiográficas:</w:t>
      </w:r>
      <w:r w:rsidRPr="006920AC">
        <w:rPr>
          <w:rFonts w:ascii="Arial" w:eastAsia="Times New Roman" w:hAnsi="Arial" w:cs="Arial"/>
          <w:color w:val="000000"/>
          <w:sz w:val="18"/>
          <w:szCs w:val="18"/>
          <w:lang w:eastAsia="es-AR"/>
        </w:rPr>
        <w:br/>
        <w:t>A 40 pacientes (27 %) se les realizó un ecocardiograma de urgencia por síndrome isquémico agudo del postoperatorio (SIAP). De ellos, 22 (55 %) presentaron nuevas alteraciones de la motilidad parietal (NAMP). Se detectó 1 segmento alterado en 11 pacientes (50 %), 2 segmentos alterados en 7 pacientes (32 %) y 3 o más segmentos alterados en 4 pacientes (18</w:t>
      </w:r>
      <w:r>
        <w:rPr>
          <w:rFonts w:ascii="Arial" w:eastAsia="Times New Roman" w:hAnsi="Arial" w:cs="Arial"/>
          <w:color w:val="000000"/>
          <w:sz w:val="18"/>
          <w:szCs w:val="18"/>
          <w:lang w:eastAsia="es-AR"/>
        </w:rPr>
        <w:t> </w:t>
      </w:r>
      <w:r w:rsidR="00E0137F">
        <w:rPr>
          <w:rFonts w:ascii="Arial" w:eastAsia="Times New Roman" w:hAnsi="Arial" w:cs="Arial"/>
          <w:color w:val="000000"/>
          <w:sz w:val="18"/>
          <w:szCs w:val="18"/>
          <w:lang w:eastAsia="es-AR"/>
        </w:rPr>
        <w:t>%).</w:t>
      </w:r>
      <w:r w:rsidRPr="006920AC">
        <w:rPr>
          <w:rFonts w:ascii="Arial" w:eastAsia="Times New Roman" w:hAnsi="Arial" w:cs="Arial"/>
          <w:color w:val="000000"/>
          <w:sz w:val="18"/>
          <w:szCs w:val="18"/>
          <w:lang w:eastAsia="es-AR"/>
        </w:rPr>
        <w:br/>
        <w:t>Soporte hemodinámico:</w:t>
      </w:r>
      <w:r w:rsidRPr="006920AC">
        <w:rPr>
          <w:rFonts w:ascii="Arial" w:eastAsia="Times New Roman" w:hAnsi="Arial" w:cs="Arial"/>
          <w:color w:val="000000"/>
          <w:sz w:val="18"/>
          <w:szCs w:val="18"/>
          <w:lang w:eastAsia="es-AR"/>
        </w:rPr>
        <w:br/>
        <w:t>Se muestran los pacientes con falla cardíaca y el tratamiento utilizado, tanto al ingreso a la unidad de cuidados intensivos como luego de las 2 horas de est</w:t>
      </w:r>
      <w:r w:rsidR="00E0137F">
        <w:rPr>
          <w:rFonts w:ascii="Arial" w:eastAsia="Times New Roman" w:hAnsi="Arial" w:cs="Arial"/>
          <w:color w:val="000000"/>
          <w:sz w:val="18"/>
          <w:szCs w:val="18"/>
          <w:lang w:eastAsia="es-AR"/>
        </w:rPr>
        <w:t>e (Tabla 3).</w:t>
      </w:r>
      <w:r w:rsidRPr="006920AC">
        <w:rPr>
          <w:rFonts w:ascii="Arial" w:eastAsia="Times New Roman" w:hAnsi="Arial" w:cs="Arial"/>
          <w:color w:val="000000"/>
          <w:sz w:val="18"/>
          <w:szCs w:val="18"/>
          <w:lang w:eastAsia="es-AR"/>
        </w:rPr>
        <w:br/>
        <w:t>Liberación de TnTs en pacientes con ECG normal y en pacientes con signos electrocardiográficos de SIAP:</w:t>
      </w:r>
      <w:r w:rsidRPr="006920AC">
        <w:rPr>
          <w:rFonts w:ascii="Arial" w:eastAsia="Times New Roman" w:hAnsi="Arial" w:cs="Arial"/>
          <w:color w:val="000000"/>
          <w:sz w:val="18"/>
          <w:szCs w:val="18"/>
          <w:lang w:eastAsia="es-AR"/>
        </w:rPr>
        <w:br/>
        <w:t>Se exhiben los valores de TnTs (en número de veces el límite superior normal para un paciente no operado) de los pacientes con ECG normal y de los pacientes con signos electrocardiográficos de SIAP (supradesnivel del segmento ST &gt; 2 mm, infradesnivel del segmento ST y alteraciones de la onda T), tanto al ingreso a la UCI como a la hora de este (Tabla 4). La liberación del biomarcador fue mayor en los pacientes con signos electrocardiográficos de SIAP al ingreso a la UCI (p=0,005)</w:t>
      </w:r>
      <w:r w:rsidR="00E0137F">
        <w:rPr>
          <w:rFonts w:ascii="Arial" w:eastAsia="Times New Roman" w:hAnsi="Arial" w:cs="Arial"/>
          <w:color w:val="000000"/>
          <w:sz w:val="18"/>
          <w:szCs w:val="18"/>
          <w:lang w:eastAsia="es-AR"/>
        </w:rPr>
        <w:t xml:space="preserve"> y a la hora de este (p=0,045).</w:t>
      </w:r>
      <w:r w:rsidRPr="006920AC">
        <w:rPr>
          <w:rFonts w:ascii="Arial" w:eastAsia="Times New Roman" w:hAnsi="Arial" w:cs="Arial"/>
          <w:color w:val="000000"/>
          <w:sz w:val="18"/>
          <w:szCs w:val="18"/>
          <w:lang w:eastAsia="es-AR"/>
        </w:rPr>
        <w:br/>
        <w:t>Liberación de CPK-MB en pacientes con ECG normal y en pacientes con signos electrocardiográficos de SIAP:</w:t>
      </w:r>
      <w:r w:rsidRPr="006920AC">
        <w:rPr>
          <w:rFonts w:ascii="Arial" w:eastAsia="Times New Roman" w:hAnsi="Arial" w:cs="Arial"/>
          <w:color w:val="000000"/>
          <w:sz w:val="18"/>
          <w:szCs w:val="18"/>
          <w:lang w:eastAsia="es-AR"/>
        </w:rPr>
        <w:br/>
        <w:t>Se exhiben los valores de CK-MB (en número de veces el límite superior normal para un paciente no operado) de los pacientes con ECG normal y de los pacientes con signos electrocardiográficos de SIAP (Tabla 4). La liberación del biomarcador fue ligeramente mayor en los pacientes con signos electrocardiográficos de SIAP tanto al ingreso a la UCI como a la hora de este, alcanzando solo significación es</w:t>
      </w:r>
      <w:r w:rsidR="00E0137F">
        <w:rPr>
          <w:rFonts w:ascii="Arial" w:eastAsia="Times New Roman" w:hAnsi="Arial" w:cs="Arial"/>
          <w:color w:val="000000"/>
          <w:sz w:val="18"/>
          <w:szCs w:val="18"/>
          <w:lang w:eastAsia="es-AR"/>
        </w:rPr>
        <w:t>tadística al ingreso (p=0,013).</w:t>
      </w:r>
      <w:r w:rsidRPr="006920AC">
        <w:rPr>
          <w:rFonts w:ascii="Arial" w:eastAsia="Times New Roman" w:hAnsi="Arial" w:cs="Arial"/>
          <w:color w:val="000000"/>
          <w:sz w:val="18"/>
          <w:szCs w:val="18"/>
          <w:lang w:eastAsia="es-AR"/>
        </w:rPr>
        <w:br/>
        <w:t>Liberación de TnTs en las diferentes alteraciones electrocardiográficas de SIAP:</w:t>
      </w:r>
      <w:r w:rsidRPr="006920AC">
        <w:rPr>
          <w:rFonts w:ascii="Arial" w:eastAsia="Times New Roman" w:hAnsi="Arial" w:cs="Arial"/>
          <w:color w:val="000000"/>
          <w:sz w:val="18"/>
          <w:szCs w:val="18"/>
          <w:lang w:eastAsia="es-AR"/>
        </w:rPr>
        <w:br/>
        <w:t>Se exhiben los valores de TnTs (en número de veces el límite superior normal para un paciente no operado) al ingreso a la unidad de cuidados intensivos y a la hora de este, en los pacientes con supradesnivel del segmento ST &gt; 2 mm, infradesnivel del segmento ST y alteraciones de la onda T (Tabla 5). Si bien en los pacientes con supradesnivel parece haber una tendencia, especialmente al ingreso, a una liberación mayor del biomarcador, no se hallaron diferencias significativas entre las distintas alteraciones electrocardiográficas.</w:t>
      </w:r>
      <w:r w:rsidRPr="006920AC">
        <w:rPr>
          <w:rFonts w:ascii="Arial" w:eastAsia="Times New Roman" w:hAnsi="Arial" w:cs="Arial"/>
          <w:color w:val="000000"/>
          <w:sz w:val="18"/>
          <w:szCs w:val="18"/>
          <w:lang w:eastAsia="es-AR"/>
        </w:rPr>
        <w:br/>
        <w:t>Liberación de CPK-MB en las diferentes alteraciones electrocardiográficas de SIAP:</w:t>
      </w:r>
      <w:r w:rsidRPr="006920AC">
        <w:rPr>
          <w:rFonts w:ascii="Arial" w:eastAsia="Times New Roman" w:hAnsi="Arial" w:cs="Arial"/>
          <w:color w:val="000000"/>
          <w:sz w:val="18"/>
          <w:szCs w:val="18"/>
          <w:lang w:eastAsia="es-AR"/>
        </w:rPr>
        <w:br/>
        <w:t>Se exhiben los valores de CPK-MB (en número de veces el límite superior normal para un paciente no operado) al ingreso a la unidad de cuidados intensivos y a la hora de este, en los pacientes con supradesnivel del segmento ST &gt; 2 mm, infra desnivel del segmento ST y alteraciones de la onda T (Tabla 6). No se hallaron diferencias significativas entre las distintas alte</w:t>
      </w:r>
      <w:r w:rsidR="00E0137F">
        <w:rPr>
          <w:rFonts w:ascii="Arial" w:eastAsia="Times New Roman" w:hAnsi="Arial" w:cs="Arial"/>
          <w:color w:val="000000"/>
          <w:sz w:val="18"/>
          <w:szCs w:val="18"/>
          <w:lang w:eastAsia="es-AR"/>
        </w:rPr>
        <w:t>raciones electrocardiográficas.</w:t>
      </w:r>
      <w:r w:rsidRPr="006920AC">
        <w:rPr>
          <w:rFonts w:ascii="Arial" w:eastAsia="Times New Roman" w:hAnsi="Arial" w:cs="Arial"/>
          <w:color w:val="000000"/>
          <w:sz w:val="18"/>
          <w:szCs w:val="18"/>
          <w:lang w:eastAsia="es-AR"/>
        </w:rPr>
        <w:br/>
        <w:t>Combinación de criterios diagnósticos en SIAP:</w:t>
      </w:r>
      <w:r w:rsidRPr="006920AC">
        <w:rPr>
          <w:rFonts w:ascii="Arial" w:eastAsia="Times New Roman" w:hAnsi="Arial" w:cs="Arial"/>
          <w:color w:val="000000"/>
          <w:sz w:val="18"/>
          <w:szCs w:val="18"/>
          <w:lang w:eastAsia="es-AR"/>
        </w:rPr>
        <w:br/>
        <w:t>En 15 pacientes (9,8 %) se encontraron signos electrocardiográficos y NAMP. En ellos la TnTs (ng/l) y la CPK-MB (U/l) [mediana (rango intercuartilo)] fueron: al ingreso a UCI 518 (878) y 62 (21) y a las 2 horas de este 589 (1020) y 63 (31). De ellos, 4 pacientes fueron derivados a coronariografía o cirugía de urgencia.</w:t>
      </w:r>
      <w:r w:rsidRPr="006920AC">
        <w:rPr>
          <w:rFonts w:ascii="Arial" w:eastAsia="Times New Roman" w:hAnsi="Arial" w:cs="Arial"/>
          <w:color w:val="000000"/>
          <w:sz w:val="18"/>
          <w:szCs w:val="18"/>
          <w:lang w:eastAsia="es-AR"/>
        </w:rPr>
        <w:br/>
        <w:t>En 8 pacientes (5,3 %) se presentaron signos electrocardiográficos y falla cardíaca. En ellos la TnTs y la CPK-MB fueron: al ingreso a UCI 508 (467) y 62 (32) y a las 2 horas de este 565 (418) y 62 (25). De ellos, 1 paciente fue derivado a coronariografía o cirugía de urgencia.</w:t>
      </w:r>
      <w:r w:rsidRPr="006920AC">
        <w:rPr>
          <w:rFonts w:ascii="Arial" w:eastAsia="Times New Roman" w:hAnsi="Arial" w:cs="Arial"/>
          <w:color w:val="000000"/>
          <w:sz w:val="18"/>
          <w:szCs w:val="18"/>
          <w:lang w:eastAsia="es-AR"/>
        </w:rPr>
        <w:br/>
        <w:t>En 4 pacientes (2,6 %) se hallaron signos electrocardiográficos, falla cardíaca y NAMP. En ellos la TnTs y la CPK-MB fueron: al ingreso a UCI 467 (783) y 62 (79) y a las 2 horas de este 575 (1133) y 66 (90). De ellos, 1 paciente fue derivado a coronariografía o cirugía de urgencia.</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Discusión</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En la medición preoperatoria 81 pacientes (53,2 %) mostraron valores elevados de TnTs, sin embargo, sus valores al ingreso a UCI, en la 1era hora del ingreso y en el 1er día del ingreso no mostraron diferencias estadísticamente significativas con los de los pacientes que exhibieron valores normales de dicho biomarcador en el preoperatorio, por lo que a diferencia de lo que sugiere Friedman et al, no creímos necesario evaluarlos de forma separada.</w:t>
      </w:r>
      <w:r w:rsidRPr="006920AC">
        <w:rPr>
          <w:rFonts w:ascii="Arial" w:eastAsia="Times New Roman" w:hAnsi="Arial" w:cs="Arial"/>
          <w:color w:val="000000"/>
          <w:sz w:val="18"/>
          <w:szCs w:val="18"/>
          <w:vertAlign w:val="superscript"/>
          <w:lang w:eastAsia="es-AR"/>
        </w:rPr>
        <w:t>4</w:t>
      </w:r>
      <w:r w:rsidRPr="006920AC">
        <w:rPr>
          <w:rFonts w:ascii="Arial" w:eastAsia="Times New Roman" w:hAnsi="Arial" w:cs="Arial"/>
          <w:color w:val="000000"/>
          <w:sz w:val="18"/>
          <w:szCs w:val="18"/>
          <w:lang w:eastAsia="es-AR"/>
        </w:rPr>
        <w:br/>
        <w:t xml:space="preserve">En cuanto a la liberación global de TnTs en el postoperatorio inmediato se pudo observar claramente un aumento </w:t>
      </w:r>
      <w:r w:rsidRPr="006920AC">
        <w:rPr>
          <w:rFonts w:ascii="Arial" w:eastAsia="Times New Roman" w:hAnsi="Arial" w:cs="Arial"/>
          <w:color w:val="000000"/>
          <w:sz w:val="18"/>
          <w:szCs w:val="18"/>
          <w:lang w:eastAsia="es-AR"/>
        </w:rPr>
        <w:lastRenderedPageBreak/>
        <w:t>marcado de sus valores. El 75 % de los pacientes mostró elevaciones de más de 20 veces el límite superior normal para un paciente no operado (LSNPNO). Esto vuelve inservible la definición por ese biomarcador del infarto tipo V enunciada en la 4ta Definición Universal de Infarto de Miocardio.</w:t>
      </w:r>
      <w:r w:rsidRPr="006920AC">
        <w:rPr>
          <w:rFonts w:ascii="Arial" w:eastAsia="Times New Roman" w:hAnsi="Arial" w:cs="Arial"/>
          <w:color w:val="000000"/>
          <w:sz w:val="18"/>
          <w:szCs w:val="18"/>
          <w:vertAlign w:val="superscript"/>
          <w:lang w:eastAsia="es-AR"/>
        </w:rPr>
        <w:t>5</w:t>
      </w:r>
      <w:r w:rsidRPr="006920AC">
        <w:rPr>
          <w:rFonts w:ascii="Arial" w:eastAsia="Times New Roman" w:hAnsi="Arial" w:cs="Arial"/>
          <w:color w:val="000000"/>
          <w:sz w:val="18"/>
          <w:szCs w:val="18"/>
          <w:lang w:eastAsia="es-AR"/>
        </w:rPr>
        <w:t> Algo similar ocurrió con la CPK-MB.</w:t>
      </w:r>
      <w:r w:rsidRPr="006920AC">
        <w:rPr>
          <w:rFonts w:ascii="Arial" w:eastAsia="Times New Roman" w:hAnsi="Arial" w:cs="Arial"/>
          <w:color w:val="000000"/>
          <w:sz w:val="18"/>
          <w:szCs w:val="18"/>
          <w:lang w:eastAsia="es-AR"/>
        </w:rPr>
        <w:br/>
        <w:t>Resulta complejo, en un estudio de postoperatorio inmediato, establecer valores de corte de un biomarcador para isquemia miocárdica ya que no hay un "patrón oro" ideal de diagnóstico con el cual comparar. En estudios previos y para marcadores como la CPK-MB se han utilizado los valores de los percentilos o cuartilos superiores de una población "normal", tomando como tal a los pacientes sin alteraciones sugestivas de isquemia aguda en el ECG. Parece claro que los biomarcadores (liberación de sustancias químicas) no miden el mismo fenómeno que los cambios electrocardiográficos (alteración de los potenciales eléctricos) en la célula miocárdica. Tomando en cuenta todas estas cuestiones, se podrían tomar como valores de corte a niveles de TnTs superiores a 34 veces el LSNPNO al ingreso a UCI y de 40 veces el LSNPNO) a la hora de este, por corresponder al 3er cuartilo de los pacientes sin SIAP en el ECG. A partir de allí se pueden establecer otros puntos de corte (ej. los valores del límite interno superior y los del límite externo superior) que delimitarán franjas de elevaciones del biomarcador que se espera tengan, progresivamente, mayor especificidad y menor sensibilidad. Dado que en la práctica asistencial se usan estudios que crecen en complejidad para establecer el diagnóstico, es razonable para estas determinaciones bioquímicas utilizar un valor de corte con alta sensibilidad y baja especificidad, ya que se comienza con ellas.</w:t>
      </w:r>
      <w:r w:rsidRPr="006920AC">
        <w:rPr>
          <w:rFonts w:ascii="Arial" w:eastAsia="Times New Roman" w:hAnsi="Arial" w:cs="Arial"/>
          <w:color w:val="000000"/>
          <w:sz w:val="18"/>
          <w:szCs w:val="18"/>
          <w:lang w:eastAsia="es-AR"/>
        </w:rPr>
        <w:br/>
        <w:t>La liberación de TnTs fue mayor en los pacientes con signos electrocardiográficos de SIAP al ingreso a la UCI y a la hora de este, pero si bien en los pacientes con supradesnivel parece haber una tendencia, especialmente al ingreso, a una liberación mayor del biomarcador, no se hallaron diferencias significativas entre las distintas alteraciones electrocardiográficas. En relación a esto, la liberación de CPK-MB, fue ligeramente mayor en los pacientes con signos electrocardiográficos de SIAP tanto al ingreso a la UCI como a la hora de este, alcanzando solo significación estadística al ingreso. Esto podría sugerir una mayor sensibilidad de la TnTs con respecto a la CPK-MB para el diagnóstico de SIAP.</w:t>
      </w:r>
      <w:r w:rsidRPr="006920AC">
        <w:rPr>
          <w:rFonts w:ascii="Arial" w:eastAsia="Times New Roman" w:hAnsi="Arial" w:cs="Arial"/>
          <w:color w:val="000000"/>
          <w:sz w:val="18"/>
          <w:szCs w:val="18"/>
          <w:lang w:eastAsia="es-AR"/>
        </w:rPr>
        <w:br/>
        <w:t>El supradesnivel del segmento ST del ECG ha sido, tradicionalmente, el signo que más alarma produce para el diagnóstico de SIAP. Si bien otras entidades pueden darlo y confundirse con el (pericarditis precoz) el presente estudio muestra una clara tendencia a su favor al relacionarse con valores más elevados de TnTs, los cuales probablemente habrían obtenido una diferencia significativa si hubiéramos contado con un mayor número de pacientes en la muestra.</w:t>
      </w:r>
      <w:r w:rsidRPr="006920AC">
        <w:rPr>
          <w:rFonts w:ascii="Arial" w:eastAsia="Times New Roman" w:hAnsi="Arial" w:cs="Arial"/>
          <w:color w:val="000000"/>
          <w:sz w:val="18"/>
          <w:szCs w:val="18"/>
          <w:lang w:eastAsia="es-AR"/>
        </w:rPr>
        <w:br/>
        <w:t>En resumen, se produce una gran liberación de TnTs y CPK-MB en las primeras horas del postoperatorio inmediato. Es complejo establecer un valor de corte de estos biomarcadores para el diagnóstico de SIAP pero queda claro que no son útiles los provistos por la 4ta Definición Universal de Infarto de Miocardio. Los signos electrocardiográficos de SIAP se asocian a mayor elevación de los biomarcadores.</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Conclusiones</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Aunque el 53,2 % de los pacientes presentaron elevaciones de TnTs preoperatorias, sus valores en el postoperatorio no presentaron diferencias significativas con aquellos pacientes que presentaban valores normales en el preoperatorio. Sin embargo, el gran aumento del valor de TnTs en las primeras horas postoperatorias, con el 75 % de los pacientes superando 20 veces el LSNPNO, cuestiona la utilidad de los criterios de la 4ta Definición Universal de Infarto de Miocardio.</w:t>
      </w:r>
      <w:r w:rsidRPr="006920AC">
        <w:rPr>
          <w:rFonts w:ascii="Arial" w:eastAsia="Times New Roman" w:hAnsi="Arial" w:cs="Arial"/>
          <w:color w:val="000000"/>
          <w:sz w:val="18"/>
          <w:szCs w:val="18"/>
          <w:lang w:eastAsia="es-AR"/>
        </w:rPr>
        <w:br/>
        <w:t>En el contexto de cirugía de revascularización miocárdica, nuestra evidencia sugiere que valores superiores a 34 veces LSNPNO al ingreso de UCI y 40 veces el LSNPNO a la hora de ingreso podrían ser más indicativos para el diagnóstico de SIAP.</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Conflicto de intereses</w:t>
      </w:r>
    </w:p>
    <w:p w:rsidR="00082154" w:rsidRPr="006920AC"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Los autores declaran no tener conflicto de intereses.</w:t>
      </w:r>
    </w:p>
    <w:p w:rsidR="00082154" w:rsidRPr="006920AC" w:rsidRDefault="00082154" w:rsidP="00082154">
      <w:pPr>
        <w:spacing w:after="0" w:line="240" w:lineRule="auto"/>
        <w:rPr>
          <w:rFonts w:ascii="Arial" w:eastAsia="Times New Roman" w:hAnsi="Arial" w:cs="Arial"/>
          <w:color w:val="000000"/>
          <w:sz w:val="18"/>
          <w:szCs w:val="18"/>
          <w:lang w:eastAsia="es-AR"/>
        </w:rPr>
      </w:pPr>
    </w:p>
    <w:p w:rsidR="00082154" w:rsidRPr="006920AC"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Agradecimientos</w:t>
      </w:r>
    </w:p>
    <w:p w:rsidR="00961A17"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A todos nuestros compañeros de residencia que colaboraron con elaboración de la base de datos</w:t>
      </w:r>
      <w:r w:rsidR="00961A17" w:rsidRPr="00E25E8D">
        <w:rPr>
          <w:rFonts w:ascii="Arial" w:eastAsia="Times New Roman" w:hAnsi="Arial" w:cs="Arial"/>
          <w:color w:val="000000"/>
          <w:sz w:val="18"/>
          <w:szCs w:val="18"/>
          <w:lang w:eastAsia="es-AR"/>
        </w:rPr>
        <w:t>.</w:t>
      </w:r>
    </w:p>
    <w:p w:rsidR="00BC00B5" w:rsidRPr="00766783" w:rsidRDefault="00BC00B5" w:rsidP="00BC00B5">
      <w:pPr>
        <w:spacing w:after="0" w:line="240" w:lineRule="auto"/>
        <w:rPr>
          <w:rFonts w:ascii="Arial" w:eastAsia="Times New Roman" w:hAnsi="Arial" w:cs="Arial"/>
          <w:color w:val="000000"/>
          <w:sz w:val="18"/>
          <w:szCs w:val="18"/>
          <w:lang w:eastAsia="es-AR"/>
        </w:rPr>
      </w:pPr>
    </w:p>
    <w:p w:rsidR="0082008E" w:rsidRDefault="00FF39A7" w:rsidP="00D02BE3">
      <w:pPr>
        <w:spacing w:after="0" w:line="240" w:lineRule="auto"/>
        <w:rPr>
          <w:rFonts w:ascii="Arial" w:eastAsia="Times New Roman" w:hAnsi="Arial" w:cs="Arial"/>
          <w:color w:val="000000"/>
          <w:sz w:val="18"/>
          <w:szCs w:val="18"/>
          <w:lang w:eastAsia="es-AR"/>
        </w:rPr>
      </w:pPr>
      <w:r>
        <w:rPr>
          <w:rFonts w:ascii="Arial" w:eastAsia="Times New Roman" w:hAnsi="Arial" w:cs="Arial"/>
          <w:b/>
          <w:bCs/>
          <w:color w:val="000000"/>
          <w:sz w:val="18"/>
          <w:szCs w:val="18"/>
          <w:lang w:eastAsia="es-AR"/>
        </w:rPr>
        <w:pict>
          <v:rect id="_x0000_i1025" style="width:0;height:.75pt" o:hralign="center" o:hrstd="t" o:hrnoshade="t" o:hr="t" fillcolor="#aaa" stroked="f"/>
        </w:pict>
      </w:r>
    </w:p>
    <w:p w:rsidR="00082154" w:rsidRDefault="00082154" w:rsidP="00082154">
      <w:pPr>
        <w:spacing w:before="100" w:beforeAutospacing="1" w:after="100" w:afterAutospacing="1" w:line="240" w:lineRule="auto"/>
        <w:outlineLvl w:val="1"/>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t>Tablas</w:t>
      </w:r>
    </w:p>
    <w:p w:rsidR="00082154" w:rsidRPr="006920AC" w:rsidRDefault="00082154" w:rsidP="00082154">
      <w:pPr>
        <w:spacing w:before="100" w:beforeAutospacing="1" w:after="100" w:afterAutospacing="1" w:line="240" w:lineRule="auto"/>
        <w:outlineLvl w:val="1"/>
        <w:rPr>
          <w:rFonts w:ascii="Arial" w:eastAsia="Times New Roman" w:hAnsi="Arial" w:cs="Arial"/>
          <w:b/>
          <w:bCs/>
          <w:color w:val="000000"/>
          <w:sz w:val="18"/>
          <w:szCs w:val="18"/>
          <w:lang w:eastAsia="es-AR"/>
        </w:rPr>
      </w:pPr>
    </w:p>
    <w:p w:rsidR="00082154" w:rsidRDefault="00082154" w:rsidP="00082154">
      <w:pPr>
        <w:spacing w:after="0" w:line="240" w:lineRule="auto"/>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t>Tabla 1</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Características de los pacientes</w:t>
      </w:r>
      <w:r w:rsidRPr="006920AC">
        <w:rPr>
          <w:rFonts w:ascii="Arial" w:eastAsia="Times New Roman" w:hAnsi="Arial" w:cs="Arial"/>
          <w:b/>
          <w:bCs/>
          <w:color w:val="000000"/>
          <w:sz w:val="18"/>
          <w:szCs w:val="18"/>
          <w:lang w:eastAsia="es-AR"/>
        </w:rPr>
        <w:br/>
      </w:r>
    </w:p>
    <w:tbl>
      <w:tblPr>
        <w:tblW w:w="8161" w:type="dxa"/>
        <w:tblInd w:w="55" w:type="dxa"/>
        <w:tblCellMar>
          <w:left w:w="70" w:type="dxa"/>
          <w:right w:w="70" w:type="dxa"/>
        </w:tblCellMar>
        <w:tblLook w:val="04A0" w:firstRow="1" w:lastRow="0" w:firstColumn="1" w:lastColumn="0" w:noHBand="0" w:noVBand="1"/>
      </w:tblPr>
      <w:tblGrid>
        <w:gridCol w:w="5147"/>
        <w:gridCol w:w="1507"/>
        <w:gridCol w:w="1507"/>
      </w:tblGrid>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Edad (años)(media-DS)</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64,7</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8,9</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Sexo masculino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140</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92,1</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 xml:space="preserve">Diabetes (n -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66</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43,4</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Factores de riesgo para SIAP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91</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59,8</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Euroscore II (media - DS)</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4,7</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3,7</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Tiempo de CEC (min)(media - DS)</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120</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23,4</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Tiempo de PA (min)(media - DS)</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96</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22,7</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Dificultad a la salida de CEC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12</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7,9</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lastRenderedPageBreak/>
              <w:t>1 complicación mayor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58</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40</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2 complicaciones mayores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27</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18,6</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3 complicaciones mayores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4 complicaciones mayores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Coronariografía por SIAP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5,5</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Reintervención quirúrgica por SIAP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Angioplastia por SIAP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Estadía en UCI (h)(media - DS)</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57,5</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42,7</w:t>
            </w:r>
          </w:p>
        </w:tc>
      </w:tr>
      <w:tr w:rsidR="00082154" w:rsidRPr="00F50957" w:rsidTr="00050A30">
        <w:trPr>
          <w:trHeight w:val="267"/>
        </w:trPr>
        <w:tc>
          <w:tcPr>
            <w:tcW w:w="514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Mortalidad (n - %)</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c>
          <w:tcPr>
            <w:tcW w:w="150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r>
    </w:tbl>
    <w:p w:rsidR="00082154" w:rsidRDefault="00082154" w:rsidP="00082154">
      <w:pPr>
        <w:spacing w:after="0" w:line="240" w:lineRule="auto"/>
        <w:rPr>
          <w:rFonts w:ascii="Arial" w:eastAsia="Times New Roman" w:hAnsi="Arial" w:cs="Arial"/>
          <w:color w:val="000000"/>
          <w:sz w:val="18"/>
          <w:szCs w:val="18"/>
          <w:lang w:eastAsia="es-AR"/>
        </w:rPr>
      </w:pPr>
    </w:p>
    <w:p w:rsidR="00082154" w:rsidRDefault="00082154" w:rsidP="00082154">
      <w:pPr>
        <w:spacing w:after="0" w:line="240" w:lineRule="auto"/>
        <w:rPr>
          <w:rFonts w:ascii="Arial" w:eastAsia="Times New Roman" w:hAnsi="Arial" w:cs="Arial"/>
          <w:b/>
          <w:bCs/>
          <w:color w:val="000000"/>
          <w:sz w:val="18"/>
          <w:szCs w:val="18"/>
          <w:lang w:eastAsia="es-AR"/>
        </w:rPr>
      </w:pPr>
      <w:r w:rsidRPr="006920AC">
        <w:rPr>
          <w:rFonts w:ascii="Arial" w:eastAsia="Times New Roman" w:hAnsi="Arial" w:cs="Arial"/>
          <w:color w:val="000000"/>
          <w:sz w:val="18"/>
          <w:szCs w:val="18"/>
          <w:lang w:eastAsia="es-AR"/>
        </w:rPr>
        <w:t>DS: desvío estándar, SIAP: síndrome isquémico agudo postoperatorio, CEC: circulación extracorpórea, PA: pinzamiento aórtico, UCI: unidad de cuidados intensivos</w:t>
      </w:r>
      <w:r>
        <w:rPr>
          <w:rFonts w:ascii="Arial" w:eastAsia="Times New Roman" w:hAnsi="Arial" w:cs="Arial"/>
          <w:color w:val="000000"/>
          <w:sz w:val="18"/>
          <w:szCs w:val="18"/>
          <w:lang w:eastAsia="es-AR"/>
        </w:rPr>
        <w:t>.</w:t>
      </w:r>
      <w:r w:rsidRPr="006920AC">
        <w:rPr>
          <w:rFonts w:ascii="Arial" w:eastAsia="Times New Roman" w:hAnsi="Arial" w:cs="Arial"/>
          <w:b/>
          <w:bCs/>
          <w:color w:val="000000"/>
          <w:sz w:val="18"/>
          <w:szCs w:val="18"/>
          <w:lang w:eastAsia="es-AR"/>
        </w:rPr>
        <w:br/>
      </w:r>
      <w:r w:rsidRPr="006920AC">
        <w:rPr>
          <w:rFonts w:ascii="Arial" w:eastAsia="Times New Roman" w:hAnsi="Arial" w:cs="Arial"/>
          <w:b/>
          <w:bCs/>
          <w:color w:val="000000"/>
          <w:sz w:val="18"/>
          <w:szCs w:val="18"/>
          <w:lang w:eastAsia="es-AR"/>
        </w:rPr>
        <w:br/>
        <w:t>Tabla 2</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Alteraciones del electrocardiograma</w:t>
      </w:r>
    </w:p>
    <w:tbl>
      <w:tblPr>
        <w:tblW w:w="8121" w:type="dxa"/>
        <w:tblInd w:w="55" w:type="dxa"/>
        <w:tblCellMar>
          <w:left w:w="70" w:type="dxa"/>
          <w:right w:w="70" w:type="dxa"/>
        </w:tblCellMar>
        <w:tblLook w:val="04A0" w:firstRow="1" w:lastRow="0" w:firstColumn="1" w:lastColumn="0" w:noHBand="0" w:noVBand="1"/>
      </w:tblPr>
      <w:tblGrid>
        <w:gridCol w:w="2655"/>
        <w:gridCol w:w="686"/>
        <w:gridCol w:w="1136"/>
        <w:gridCol w:w="686"/>
        <w:gridCol w:w="1136"/>
        <w:gridCol w:w="686"/>
        <w:gridCol w:w="1136"/>
      </w:tblGrid>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p>
        </w:tc>
        <w:tc>
          <w:tcPr>
            <w:tcW w:w="1822" w:type="dxa"/>
            <w:gridSpan w:val="2"/>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Ingreso a UCI</w:t>
            </w:r>
          </w:p>
        </w:tc>
        <w:tc>
          <w:tcPr>
            <w:tcW w:w="1822" w:type="dxa"/>
            <w:gridSpan w:val="2"/>
            <w:tcBorders>
              <w:top w:val="nil"/>
              <w:left w:val="nil"/>
              <w:bottom w:val="nil"/>
              <w:right w:val="nil"/>
            </w:tcBorders>
            <w:shd w:val="clear" w:color="auto" w:fill="auto"/>
            <w:noWrap/>
            <w:vAlign w:val="bottom"/>
            <w:hideMark/>
          </w:tcPr>
          <w:p w:rsidR="00082154" w:rsidRPr="00F50957" w:rsidRDefault="00A85600" w:rsidP="00050A30">
            <w:pPr>
              <w:spacing w:after="0" w:line="240" w:lineRule="auto"/>
              <w:jc w:val="center"/>
              <w:rPr>
                <w:rFonts w:ascii="Calibri" w:eastAsia="Times New Roman" w:hAnsi="Calibri" w:cs="Calibri"/>
                <w:color w:val="000000"/>
                <w:lang w:eastAsia="es-AR"/>
              </w:rPr>
            </w:pPr>
            <w:r>
              <w:rPr>
                <w:rFonts w:ascii="Calibri" w:eastAsia="Times New Roman" w:hAnsi="Calibri" w:cs="Calibri"/>
                <w:color w:val="000000"/>
                <w:lang w:eastAsia="es-AR"/>
              </w:rPr>
              <w:t>Primera</w:t>
            </w:r>
            <w:r w:rsidR="00082154" w:rsidRPr="00F50957">
              <w:rPr>
                <w:rFonts w:ascii="Calibri" w:eastAsia="Times New Roman" w:hAnsi="Calibri" w:cs="Calibri"/>
                <w:color w:val="000000"/>
                <w:lang w:eastAsia="es-AR"/>
              </w:rPr>
              <w:t xml:space="preserve"> h de ingreso a UCI</w:t>
            </w:r>
          </w:p>
        </w:tc>
        <w:tc>
          <w:tcPr>
            <w:tcW w:w="1822" w:type="dxa"/>
            <w:gridSpan w:val="2"/>
            <w:tcBorders>
              <w:top w:val="nil"/>
              <w:left w:val="nil"/>
              <w:bottom w:val="nil"/>
              <w:right w:val="nil"/>
            </w:tcBorders>
            <w:shd w:val="clear" w:color="auto" w:fill="auto"/>
            <w:noWrap/>
            <w:vAlign w:val="bottom"/>
            <w:hideMark/>
          </w:tcPr>
          <w:p w:rsidR="00082154" w:rsidRPr="00F50957" w:rsidRDefault="00A85600" w:rsidP="00050A30">
            <w:pPr>
              <w:spacing w:after="0" w:line="240" w:lineRule="auto"/>
              <w:jc w:val="center"/>
              <w:rPr>
                <w:rFonts w:ascii="Calibri" w:eastAsia="Times New Roman" w:hAnsi="Calibri" w:cs="Calibri"/>
                <w:color w:val="000000"/>
                <w:lang w:eastAsia="es-AR"/>
              </w:rPr>
            </w:pPr>
            <w:r>
              <w:rPr>
                <w:rFonts w:ascii="Calibri" w:eastAsia="Times New Roman" w:hAnsi="Calibri" w:cs="Calibri"/>
                <w:color w:val="000000"/>
                <w:lang w:eastAsia="es-AR"/>
              </w:rPr>
              <w:t>Segunda</w:t>
            </w:r>
            <w:r w:rsidR="00082154" w:rsidRPr="00F50957">
              <w:rPr>
                <w:rFonts w:ascii="Calibri" w:eastAsia="Times New Roman" w:hAnsi="Calibri" w:cs="Calibri"/>
                <w:color w:val="000000"/>
                <w:lang w:eastAsia="es-AR"/>
              </w:rPr>
              <w:t xml:space="preserve"> h de ingreso a UCI</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n</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n</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n</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 xml:space="preserve">Supradesnivel del ST &lt;1 mm </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6</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3,9</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12</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7,9</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Supradesnivel del ST entre 1 y 2 mm</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8,5</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14</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9,2</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Supradesnivel del ST &gt;2 mm</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7,2</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5,3</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Solo infradesnivel del ST</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20</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13,1</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13,8</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17</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11,1</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Solo alteraciones de la onda T</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18</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11,8</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23</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15,1</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26</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17,1</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Nuevo BRD</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5,9</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3,3</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Nuevo BRI</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0,6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0,6</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0,6</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Nueva onda Q</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1,9</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r>
      <w:tr w:rsidR="00082154" w:rsidRPr="00F50957" w:rsidTr="00050A30">
        <w:trPr>
          <w:trHeight w:val="291"/>
        </w:trPr>
        <w:tc>
          <w:tcPr>
            <w:tcW w:w="265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Total</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72</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47,4</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81</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53,3</w:t>
            </w:r>
          </w:p>
        </w:tc>
        <w:tc>
          <w:tcPr>
            <w:tcW w:w="686"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85</w:t>
            </w:r>
          </w:p>
        </w:tc>
        <w:tc>
          <w:tcPr>
            <w:tcW w:w="113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55,9</w:t>
            </w:r>
          </w:p>
        </w:tc>
      </w:tr>
    </w:tbl>
    <w:p w:rsidR="00082154"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b/>
          <w:bCs/>
          <w:color w:val="000000"/>
          <w:sz w:val="18"/>
          <w:szCs w:val="18"/>
          <w:lang w:eastAsia="es-AR"/>
        </w:rPr>
        <w:br/>
      </w:r>
      <w:r>
        <w:rPr>
          <w:rFonts w:ascii="Arial" w:eastAsia="Times New Roman" w:hAnsi="Arial" w:cs="Arial"/>
          <w:b/>
          <w:bCs/>
          <w:color w:val="000000"/>
          <w:sz w:val="18"/>
          <w:szCs w:val="18"/>
          <w:lang w:eastAsia="es-AR"/>
        </w:rPr>
        <w:t xml:space="preserve">  </w:t>
      </w:r>
      <w:r w:rsidRPr="006920AC">
        <w:rPr>
          <w:rFonts w:ascii="Arial" w:eastAsia="Times New Roman" w:hAnsi="Arial" w:cs="Arial"/>
          <w:color w:val="000000"/>
          <w:sz w:val="18"/>
          <w:szCs w:val="18"/>
          <w:lang w:eastAsia="es-AR"/>
        </w:rPr>
        <w:t>ST: segmento ST, BRD: bloqueo rama derecha, BRI: bloqueo de rama izquierda</w:t>
      </w:r>
      <w:r>
        <w:rPr>
          <w:rFonts w:ascii="Arial" w:eastAsia="Times New Roman" w:hAnsi="Arial" w:cs="Arial"/>
          <w:color w:val="000000"/>
          <w:sz w:val="18"/>
          <w:szCs w:val="18"/>
          <w:lang w:eastAsia="es-AR"/>
        </w:rPr>
        <w:t xml:space="preserve">, </w:t>
      </w:r>
      <w:r w:rsidRPr="006920AC">
        <w:rPr>
          <w:rFonts w:ascii="Arial" w:eastAsia="Times New Roman" w:hAnsi="Arial" w:cs="Arial"/>
          <w:color w:val="000000"/>
          <w:sz w:val="18"/>
          <w:szCs w:val="18"/>
          <w:lang w:eastAsia="es-AR"/>
        </w:rPr>
        <w:t>UCI: unidad de cuidados intensivos</w:t>
      </w:r>
      <w:r>
        <w:rPr>
          <w:rFonts w:ascii="Arial" w:eastAsia="Times New Roman" w:hAnsi="Arial" w:cs="Arial"/>
          <w:color w:val="000000"/>
          <w:sz w:val="18"/>
          <w:szCs w:val="18"/>
          <w:lang w:eastAsia="es-AR"/>
        </w:rPr>
        <w:t>.</w:t>
      </w:r>
    </w:p>
    <w:p w:rsidR="00082154" w:rsidRDefault="00082154" w:rsidP="00082154">
      <w:pPr>
        <w:spacing w:after="240" w:line="240" w:lineRule="auto"/>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br/>
        <w:t>Tabla 3</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Soporte hemodinámico</w:t>
      </w:r>
      <w:r w:rsidRPr="006920AC">
        <w:rPr>
          <w:rFonts w:ascii="Arial" w:eastAsia="Times New Roman" w:hAnsi="Arial" w:cs="Arial"/>
          <w:b/>
          <w:bCs/>
          <w:color w:val="000000"/>
          <w:sz w:val="18"/>
          <w:szCs w:val="18"/>
          <w:lang w:eastAsia="es-AR"/>
        </w:rPr>
        <w:br/>
      </w:r>
    </w:p>
    <w:tbl>
      <w:tblPr>
        <w:tblW w:w="7214" w:type="dxa"/>
        <w:tblInd w:w="55" w:type="dxa"/>
        <w:tblCellMar>
          <w:left w:w="70" w:type="dxa"/>
          <w:right w:w="70" w:type="dxa"/>
        </w:tblCellMar>
        <w:tblLook w:val="04A0" w:firstRow="1" w:lastRow="0" w:firstColumn="1" w:lastColumn="0" w:noHBand="0" w:noVBand="1"/>
      </w:tblPr>
      <w:tblGrid>
        <w:gridCol w:w="3457"/>
        <w:gridCol w:w="775"/>
        <w:gridCol w:w="939"/>
        <w:gridCol w:w="770"/>
        <w:gridCol w:w="1273"/>
      </w:tblGrid>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p>
        </w:tc>
        <w:tc>
          <w:tcPr>
            <w:tcW w:w="1714" w:type="dxa"/>
            <w:gridSpan w:val="2"/>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Al ingreso a UCI</w:t>
            </w:r>
          </w:p>
        </w:tc>
        <w:tc>
          <w:tcPr>
            <w:tcW w:w="2043" w:type="dxa"/>
            <w:gridSpan w:val="2"/>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Luego de</w:t>
            </w:r>
            <w:r>
              <w:rPr>
                <w:rFonts w:ascii="Calibri" w:eastAsia="Times New Roman" w:hAnsi="Calibri" w:cs="Calibri"/>
                <w:color w:val="000000"/>
                <w:lang w:eastAsia="es-AR"/>
              </w:rPr>
              <w:t xml:space="preserve"> </w:t>
            </w:r>
            <w:r w:rsidRPr="00F50957">
              <w:rPr>
                <w:rFonts w:ascii="Calibri" w:eastAsia="Times New Roman" w:hAnsi="Calibri" w:cs="Calibri"/>
                <w:color w:val="000000"/>
                <w:lang w:eastAsia="es-AR"/>
              </w:rPr>
              <w:t>2 h del ingreso a UCI</w:t>
            </w:r>
          </w:p>
        </w:tc>
      </w:tr>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p>
        </w:tc>
        <w:tc>
          <w:tcPr>
            <w:tcW w:w="77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n</w:t>
            </w:r>
          </w:p>
        </w:tc>
        <w:tc>
          <w:tcPr>
            <w:tcW w:w="939"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w:t>
            </w:r>
          </w:p>
        </w:tc>
        <w:tc>
          <w:tcPr>
            <w:tcW w:w="770"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n</w:t>
            </w:r>
          </w:p>
        </w:tc>
        <w:tc>
          <w:tcPr>
            <w:tcW w:w="1273"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w:t>
            </w:r>
          </w:p>
        </w:tc>
      </w:tr>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Requerimiento de 1 droga</w:t>
            </w:r>
          </w:p>
        </w:tc>
        <w:tc>
          <w:tcPr>
            <w:tcW w:w="77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11</w:t>
            </w:r>
          </w:p>
        </w:tc>
        <w:tc>
          <w:tcPr>
            <w:tcW w:w="939"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7,2</w:t>
            </w:r>
          </w:p>
        </w:tc>
        <w:tc>
          <w:tcPr>
            <w:tcW w:w="770"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15</w:t>
            </w:r>
          </w:p>
        </w:tc>
        <w:tc>
          <w:tcPr>
            <w:tcW w:w="1273"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9,9</w:t>
            </w:r>
          </w:p>
        </w:tc>
      </w:tr>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Requerimiento de 2 o más drogas</w:t>
            </w:r>
          </w:p>
        </w:tc>
        <w:tc>
          <w:tcPr>
            <w:tcW w:w="77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w:t>
            </w:r>
          </w:p>
        </w:tc>
        <w:tc>
          <w:tcPr>
            <w:tcW w:w="939"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0,6</w:t>
            </w:r>
          </w:p>
        </w:tc>
        <w:tc>
          <w:tcPr>
            <w:tcW w:w="770"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w:t>
            </w:r>
          </w:p>
        </w:tc>
        <w:tc>
          <w:tcPr>
            <w:tcW w:w="1273"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3,3</w:t>
            </w:r>
          </w:p>
        </w:tc>
      </w:tr>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Requerimiento de asistencia circulatoria mecánica</w:t>
            </w:r>
          </w:p>
        </w:tc>
        <w:tc>
          <w:tcPr>
            <w:tcW w:w="77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w:t>
            </w:r>
          </w:p>
        </w:tc>
        <w:tc>
          <w:tcPr>
            <w:tcW w:w="939"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1,3</w:t>
            </w:r>
          </w:p>
        </w:tc>
        <w:tc>
          <w:tcPr>
            <w:tcW w:w="770"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5</w:t>
            </w:r>
          </w:p>
        </w:tc>
        <w:tc>
          <w:tcPr>
            <w:tcW w:w="1273"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3,3</w:t>
            </w:r>
          </w:p>
        </w:tc>
      </w:tr>
      <w:tr w:rsidR="00082154" w:rsidRPr="00F50957" w:rsidTr="00050A30">
        <w:trPr>
          <w:trHeight w:val="303"/>
        </w:trPr>
        <w:tc>
          <w:tcPr>
            <w:tcW w:w="3457"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rPr>
                <w:rFonts w:ascii="Calibri" w:eastAsia="Times New Roman" w:hAnsi="Calibri" w:cs="Calibri"/>
                <w:color w:val="000000"/>
                <w:lang w:eastAsia="es-AR"/>
              </w:rPr>
            </w:pPr>
            <w:r w:rsidRPr="00F50957">
              <w:rPr>
                <w:rFonts w:ascii="Calibri" w:eastAsia="Times New Roman" w:hAnsi="Calibri" w:cs="Calibri"/>
                <w:color w:val="000000"/>
                <w:lang w:eastAsia="es-AR"/>
              </w:rPr>
              <w:t>Total</w:t>
            </w:r>
          </w:p>
        </w:tc>
        <w:tc>
          <w:tcPr>
            <w:tcW w:w="775"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14</w:t>
            </w:r>
          </w:p>
        </w:tc>
        <w:tc>
          <w:tcPr>
            <w:tcW w:w="939"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9,2</w:t>
            </w:r>
          </w:p>
        </w:tc>
        <w:tc>
          <w:tcPr>
            <w:tcW w:w="770"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25</w:t>
            </w:r>
          </w:p>
        </w:tc>
        <w:tc>
          <w:tcPr>
            <w:tcW w:w="1273" w:type="dxa"/>
            <w:tcBorders>
              <w:top w:val="nil"/>
              <w:left w:val="nil"/>
              <w:bottom w:val="nil"/>
              <w:right w:val="nil"/>
            </w:tcBorders>
            <w:shd w:val="clear" w:color="auto" w:fill="auto"/>
            <w:noWrap/>
            <w:vAlign w:val="bottom"/>
            <w:hideMark/>
          </w:tcPr>
          <w:p w:rsidR="00082154" w:rsidRPr="00F50957" w:rsidRDefault="00082154" w:rsidP="00050A30">
            <w:pPr>
              <w:spacing w:after="0" w:line="240" w:lineRule="auto"/>
              <w:jc w:val="center"/>
              <w:rPr>
                <w:rFonts w:ascii="Calibri" w:eastAsia="Times New Roman" w:hAnsi="Calibri" w:cs="Calibri"/>
                <w:color w:val="000000"/>
                <w:lang w:eastAsia="es-AR"/>
              </w:rPr>
            </w:pPr>
            <w:r w:rsidRPr="00F50957">
              <w:rPr>
                <w:rFonts w:ascii="Calibri" w:eastAsia="Times New Roman" w:hAnsi="Calibri" w:cs="Calibri"/>
                <w:color w:val="000000"/>
                <w:lang w:eastAsia="es-AR"/>
              </w:rPr>
              <w:t>16,5</w:t>
            </w:r>
          </w:p>
        </w:tc>
      </w:tr>
    </w:tbl>
    <w:p w:rsidR="00082154" w:rsidRDefault="00082154" w:rsidP="00082154">
      <w:pPr>
        <w:spacing w:after="240" w:line="240" w:lineRule="auto"/>
        <w:rPr>
          <w:rFonts w:ascii="Arial" w:eastAsia="Times New Roman" w:hAnsi="Arial" w:cs="Arial"/>
          <w:color w:val="000000"/>
          <w:sz w:val="18"/>
          <w:szCs w:val="18"/>
          <w:lang w:eastAsia="es-AR"/>
        </w:rPr>
      </w:pPr>
      <w:r w:rsidRPr="006920AC">
        <w:rPr>
          <w:rFonts w:ascii="Arial" w:eastAsia="Times New Roman" w:hAnsi="Arial" w:cs="Arial"/>
          <w:b/>
          <w:bCs/>
          <w:color w:val="000000"/>
          <w:sz w:val="18"/>
          <w:szCs w:val="18"/>
          <w:lang w:eastAsia="es-AR"/>
        </w:rPr>
        <w:br/>
      </w:r>
      <w:r w:rsidRPr="006920AC">
        <w:rPr>
          <w:rFonts w:ascii="Arial" w:eastAsia="Times New Roman" w:hAnsi="Arial" w:cs="Arial"/>
          <w:color w:val="000000"/>
          <w:sz w:val="18"/>
          <w:szCs w:val="18"/>
          <w:lang w:eastAsia="es-AR"/>
        </w:rPr>
        <w:t>UCI: unidad de cuidados intensivos</w:t>
      </w:r>
      <w:r>
        <w:rPr>
          <w:rFonts w:ascii="Arial" w:eastAsia="Times New Roman" w:hAnsi="Arial" w:cs="Arial"/>
          <w:color w:val="000000"/>
          <w:sz w:val="18"/>
          <w:szCs w:val="18"/>
          <w:lang w:eastAsia="es-AR"/>
        </w:rPr>
        <w:t>.</w:t>
      </w:r>
    </w:p>
    <w:p w:rsidR="00082154" w:rsidRDefault="00082154" w:rsidP="00082154">
      <w:pPr>
        <w:spacing w:after="0" w:line="240" w:lineRule="auto"/>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br/>
        <w:t>Tabla 4</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Liberación de biomarcadores y su relación con el electrocardiograma</w:t>
      </w:r>
      <w:r w:rsidRPr="006920AC">
        <w:rPr>
          <w:rFonts w:ascii="Arial" w:eastAsia="Times New Roman" w:hAnsi="Arial" w:cs="Arial"/>
          <w:b/>
          <w:bCs/>
          <w:color w:val="000000"/>
          <w:sz w:val="18"/>
          <w:szCs w:val="18"/>
          <w:lang w:eastAsia="es-AR"/>
        </w:rPr>
        <w:br/>
      </w:r>
    </w:p>
    <w:tbl>
      <w:tblPr>
        <w:tblW w:w="7278" w:type="dxa"/>
        <w:tblInd w:w="55" w:type="dxa"/>
        <w:tblCellMar>
          <w:left w:w="70" w:type="dxa"/>
          <w:right w:w="70" w:type="dxa"/>
        </w:tblCellMar>
        <w:tblLook w:val="04A0" w:firstRow="1" w:lastRow="0" w:firstColumn="1" w:lastColumn="0" w:noHBand="0" w:noVBand="1"/>
      </w:tblPr>
      <w:tblGrid>
        <w:gridCol w:w="1607"/>
        <w:gridCol w:w="930"/>
        <w:gridCol w:w="433"/>
        <w:gridCol w:w="930"/>
        <w:gridCol w:w="433"/>
        <w:gridCol w:w="641"/>
        <w:gridCol w:w="930"/>
        <w:gridCol w:w="433"/>
        <w:gridCol w:w="930"/>
        <w:gridCol w:w="433"/>
        <w:gridCol w:w="641"/>
      </w:tblGrid>
      <w:tr w:rsidR="00082154" w:rsidRPr="00AC5E97" w:rsidTr="000F4123">
        <w:trPr>
          <w:trHeight w:val="288"/>
        </w:trPr>
        <w:tc>
          <w:tcPr>
            <w:tcW w:w="1607"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2806" w:type="dxa"/>
            <w:gridSpan w:val="5"/>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TnTs</w:t>
            </w:r>
          </w:p>
        </w:tc>
        <w:tc>
          <w:tcPr>
            <w:tcW w:w="2393" w:type="dxa"/>
            <w:gridSpan w:val="4"/>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CPK-MB</w:t>
            </w:r>
          </w:p>
        </w:tc>
        <w:tc>
          <w:tcPr>
            <w:tcW w:w="47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p>
        </w:tc>
      </w:tr>
      <w:tr w:rsidR="00082154" w:rsidRPr="00AC5E97" w:rsidTr="000F4123">
        <w:trPr>
          <w:trHeight w:val="288"/>
        </w:trPr>
        <w:tc>
          <w:tcPr>
            <w:tcW w:w="1607"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1098" w:type="dxa"/>
            <w:gridSpan w:val="2"/>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ECG normal</w:t>
            </w:r>
          </w:p>
        </w:tc>
        <w:tc>
          <w:tcPr>
            <w:tcW w:w="1204" w:type="dxa"/>
            <w:gridSpan w:val="2"/>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ECG con signos de SIAP</w:t>
            </w:r>
          </w:p>
        </w:tc>
        <w:tc>
          <w:tcPr>
            <w:tcW w:w="50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p>
        </w:tc>
        <w:tc>
          <w:tcPr>
            <w:tcW w:w="1189" w:type="dxa"/>
            <w:gridSpan w:val="2"/>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ECG normal</w:t>
            </w:r>
          </w:p>
        </w:tc>
        <w:tc>
          <w:tcPr>
            <w:tcW w:w="1204" w:type="dxa"/>
            <w:gridSpan w:val="2"/>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ECG con signos de SIAP</w:t>
            </w:r>
          </w:p>
        </w:tc>
        <w:tc>
          <w:tcPr>
            <w:tcW w:w="47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p>
        </w:tc>
      </w:tr>
      <w:tr w:rsidR="00082154" w:rsidRPr="00AC5E97" w:rsidTr="000F4123">
        <w:trPr>
          <w:trHeight w:val="288"/>
        </w:trPr>
        <w:tc>
          <w:tcPr>
            <w:tcW w:w="1607"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77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31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50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p</w:t>
            </w:r>
          </w:p>
        </w:tc>
        <w:tc>
          <w:tcPr>
            <w:tcW w:w="853"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336"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47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p</w:t>
            </w:r>
          </w:p>
        </w:tc>
      </w:tr>
      <w:tr w:rsidR="00082154" w:rsidRPr="00AC5E97" w:rsidTr="000F4123">
        <w:trPr>
          <w:trHeight w:val="288"/>
        </w:trPr>
        <w:tc>
          <w:tcPr>
            <w:tcW w:w="1607"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r w:rsidRPr="00AC5E97">
              <w:rPr>
                <w:rFonts w:ascii="Calibri" w:eastAsia="Times New Roman" w:hAnsi="Calibri" w:cs="Calibri"/>
                <w:color w:val="000000"/>
                <w:lang w:eastAsia="es-AR"/>
              </w:rPr>
              <w:t>Al ingreso a UCI</w:t>
            </w:r>
          </w:p>
        </w:tc>
        <w:tc>
          <w:tcPr>
            <w:tcW w:w="77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26</w:t>
            </w:r>
          </w:p>
        </w:tc>
        <w:tc>
          <w:tcPr>
            <w:tcW w:w="31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18</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33</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31</w:t>
            </w:r>
          </w:p>
        </w:tc>
        <w:tc>
          <w:tcPr>
            <w:tcW w:w="504" w:type="dxa"/>
            <w:shd w:val="clear" w:color="auto" w:fill="auto"/>
            <w:noWrap/>
            <w:vAlign w:val="center"/>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0,005</w:t>
            </w:r>
          </w:p>
        </w:tc>
        <w:tc>
          <w:tcPr>
            <w:tcW w:w="853"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w:t>
            </w:r>
          </w:p>
        </w:tc>
        <w:tc>
          <w:tcPr>
            <w:tcW w:w="336"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0,9</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2,5</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1,2</w:t>
            </w:r>
          </w:p>
        </w:tc>
        <w:tc>
          <w:tcPr>
            <w:tcW w:w="47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0,013</w:t>
            </w:r>
          </w:p>
        </w:tc>
      </w:tr>
      <w:tr w:rsidR="00082154" w:rsidRPr="00AC5E97" w:rsidTr="000F4123">
        <w:trPr>
          <w:trHeight w:val="288"/>
        </w:trPr>
        <w:tc>
          <w:tcPr>
            <w:tcW w:w="1607"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r w:rsidRPr="00AC5E97">
              <w:rPr>
                <w:rFonts w:ascii="Calibri" w:eastAsia="Times New Roman" w:hAnsi="Calibri" w:cs="Calibri"/>
                <w:color w:val="000000"/>
                <w:lang w:eastAsia="es-AR"/>
              </w:rPr>
              <w:lastRenderedPageBreak/>
              <w:t>A la hora del ingreso a UCI</w:t>
            </w:r>
          </w:p>
        </w:tc>
        <w:tc>
          <w:tcPr>
            <w:tcW w:w="77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28</w:t>
            </w:r>
          </w:p>
        </w:tc>
        <w:tc>
          <w:tcPr>
            <w:tcW w:w="319"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19</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34</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35</w:t>
            </w:r>
          </w:p>
        </w:tc>
        <w:tc>
          <w:tcPr>
            <w:tcW w:w="504" w:type="dxa"/>
            <w:shd w:val="clear" w:color="auto" w:fill="auto"/>
            <w:noWrap/>
            <w:vAlign w:val="center"/>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0,045</w:t>
            </w:r>
          </w:p>
        </w:tc>
        <w:tc>
          <w:tcPr>
            <w:tcW w:w="853"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w:t>
            </w:r>
          </w:p>
        </w:tc>
        <w:tc>
          <w:tcPr>
            <w:tcW w:w="336"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1,2</w:t>
            </w:r>
          </w:p>
        </w:tc>
        <w:tc>
          <w:tcPr>
            <w:tcW w:w="864"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2,3</w:t>
            </w:r>
          </w:p>
        </w:tc>
        <w:tc>
          <w:tcPr>
            <w:tcW w:w="34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1,3</w:t>
            </w:r>
          </w:p>
        </w:tc>
        <w:tc>
          <w:tcPr>
            <w:tcW w:w="47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0,068</w:t>
            </w:r>
          </w:p>
        </w:tc>
      </w:tr>
    </w:tbl>
    <w:p w:rsidR="001904D7" w:rsidRDefault="00082154" w:rsidP="001904D7">
      <w:pPr>
        <w:spacing w:after="0" w:line="240" w:lineRule="auto"/>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br/>
      </w:r>
      <w:r w:rsidRPr="006920AC">
        <w:rPr>
          <w:rFonts w:ascii="Arial" w:eastAsia="Times New Roman" w:hAnsi="Arial" w:cs="Arial"/>
          <w:color w:val="000000"/>
          <w:sz w:val="18"/>
          <w:szCs w:val="18"/>
          <w:lang w:eastAsia="es-AR"/>
        </w:rPr>
        <w:t>TnTs: troponina T de alta sensibilidad (en número de veces el límite superior normal), CPK-MB: fracción miocárdica de la creatinfosfoquinasa, ECG: electrocardiograma, SIAP: síndrome isquémico agudo postoperatorio, UCI: unidad de cuidados intensivos, RIC: rango intercuartilo</w:t>
      </w:r>
      <w:r>
        <w:rPr>
          <w:rFonts w:ascii="Arial" w:eastAsia="Times New Roman" w:hAnsi="Arial" w:cs="Arial"/>
          <w:color w:val="000000"/>
          <w:sz w:val="18"/>
          <w:szCs w:val="18"/>
          <w:lang w:eastAsia="es-AR"/>
        </w:rPr>
        <w:t>.</w:t>
      </w:r>
      <w:r w:rsidR="001904D7">
        <w:rPr>
          <w:rFonts w:ascii="Arial" w:eastAsia="Times New Roman" w:hAnsi="Arial" w:cs="Arial"/>
          <w:color w:val="000000"/>
          <w:sz w:val="18"/>
          <w:szCs w:val="18"/>
          <w:lang w:eastAsia="es-AR"/>
        </w:rPr>
        <w:br/>
      </w:r>
      <w:r w:rsidR="001904D7">
        <w:rPr>
          <w:rFonts w:ascii="Arial" w:eastAsia="Times New Roman" w:hAnsi="Arial" w:cs="Arial"/>
          <w:color w:val="000000"/>
          <w:sz w:val="18"/>
          <w:szCs w:val="18"/>
          <w:lang w:eastAsia="es-AR"/>
        </w:rPr>
        <w:br/>
      </w:r>
      <w:r w:rsidR="001904D7">
        <w:rPr>
          <w:rFonts w:ascii="Arial" w:eastAsia="Times New Roman" w:hAnsi="Arial" w:cs="Arial"/>
          <w:color w:val="000000"/>
          <w:sz w:val="18"/>
          <w:szCs w:val="18"/>
          <w:lang w:eastAsia="es-AR"/>
        </w:rPr>
        <w:br/>
      </w:r>
      <w:r w:rsidR="001904D7">
        <w:rPr>
          <w:rFonts w:ascii="Arial" w:eastAsia="Times New Roman" w:hAnsi="Arial" w:cs="Arial"/>
          <w:b/>
          <w:bCs/>
          <w:color w:val="000000"/>
          <w:sz w:val="18"/>
          <w:szCs w:val="18"/>
          <w:lang w:eastAsia="es-AR"/>
        </w:rPr>
        <w:t xml:space="preserve">Tabla 5: </w:t>
      </w:r>
      <w:r w:rsidR="002F4A87">
        <w:rPr>
          <w:rFonts w:ascii="Arial" w:eastAsia="Times New Roman" w:hAnsi="Arial" w:cs="Arial"/>
          <w:b/>
          <w:bCs/>
          <w:color w:val="000000"/>
          <w:sz w:val="18"/>
          <w:szCs w:val="18"/>
          <w:lang w:eastAsia="es-AR"/>
        </w:rPr>
        <w:t>Liberación de TnTs</w:t>
      </w:r>
      <w:r w:rsidR="002F4A87" w:rsidRPr="002F4A87">
        <w:rPr>
          <w:rFonts w:ascii="Arial" w:eastAsia="Times New Roman" w:hAnsi="Arial" w:cs="Arial"/>
          <w:b/>
          <w:bCs/>
          <w:color w:val="000000"/>
          <w:sz w:val="18"/>
          <w:szCs w:val="18"/>
          <w:lang w:eastAsia="es-AR"/>
        </w:rPr>
        <w:t xml:space="preserve"> en las diferentes alteraciones electrocardiográficas del SIAP</w:t>
      </w:r>
      <w:r w:rsidR="001904D7">
        <w:rPr>
          <w:rFonts w:ascii="Arial" w:eastAsia="Times New Roman" w:hAnsi="Arial" w:cs="Arial"/>
          <w:b/>
          <w:bCs/>
          <w:color w:val="000000"/>
          <w:sz w:val="18"/>
          <w:szCs w:val="18"/>
          <w:lang w:eastAsia="es-AR"/>
        </w:rPr>
        <w:br/>
      </w:r>
      <w:r w:rsidR="001904D7">
        <w:rPr>
          <w:rFonts w:ascii="Arial" w:eastAsia="Times New Roman" w:hAnsi="Arial" w:cs="Arial"/>
          <w:b/>
          <w:bCs/>
          <w:color w:val="000000"/>
          <w:sz w:val="18"/>
          <w:szCs w:val="18"/>
          <w:lang w:eastAsia="es-AR"/>
        </w:rPr>
        <w:br/>
      </w:r>
    </w:p>
    <w:tbl>
      <w:tblPr>
        <w:tblW w:w="9320" w:type="dxa"/>
        <w:tblInd w:w="55" w:type="dxa"/>
        <w:tblCellMar>
          <w:left w:w="70" w:type="dxa"/>
          <w:right w:w="70" w:type="dxa"/>
        </w:tblCellMar>
        <w:tblLook w:val="04A0" w:firstRow="1" w:lastRow="0" w:firstColumn="1" w:lastColumn="0" w:noHBand="0" w:noVBand="1"/>
      </w:tblPr>
      <w:tblGrid>
        <w:gridCol w:w="2800"/>
        <w:gridCol w:w="1668"/>
        <w:gridCol w:w="657"/>
        <w:gridCol w:w="855"/>
        <w:gridCol w:w="1752"/>
        <w:gridCol w:w="690"/>
        <w:gridCol w:w="898"/>
      </w:tblGrid>
      <w:tr w:rsidR="002F4A87" w:rsidRPr="002F4A87" w:rsidTr="002F4A87">
        <w:trPr>
          <w:trHeight w:val="300"/>
        </w:trPr>
        <w:tc>
          <w:tcPr>
            <w:tcW w:w="280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rPr>
                <w:rFonts w:ascii="Calibri" w:eastAsia="Times New Roman" w:hAnsi="Calibri" w:cs="Calibri"/>
                <w:color w:val="000000"/>
                <w:lang w:eastAsia="es-AR"/>
              </w:rPr>
            </w:pPr>
          </w:p>
        </w:tc>
        <w:tc>
          <w:tcPr>
            <w:tcW w:w="3180" w:type="dxa"/>
            <w:gridSpan w:val="3"/>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Al ingreso a UCI</w:t>
            </w:r>
          </w:p>
        </w:tc>
        <w:tc>
          <w:tcPr>
            <w:tcW w:w="3340" w:type="dxa"/>
            <w:gridSpan w:val="3"/>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A la hora del ingreso a UCI</w:t>
            </w:r>
          </w:p>
        </w:tc>
      </w:tr>
      <w:tr w:rsidR="002F4A87" w:rsidRPr="002F4A87" w:rsidTr="002F4A87">
        <w:trPr>
          <w:trHeight w:val="300"/>
        </w:trPr>
        <w:tc>
          <w:tcPr>
            <w:tcW w:w="280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rPr>
                <w:rFonts w:ascii="Calibri" w:eastAsia="Times New Roman" w:hAnsi="Calibri" w:cs="Calibri"/>
                <w:color w:val="000000"/>
                <w:lang w:eastAsia="es-AR"/>
              </w:rPr>
            </w:pPr>
          </w:p>
        </w:tc>
        <w:tc>
          <w:tcPr>
            <w:tcW w:w="1668"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 xml:space="preserve">Mediana </w:t>
            </w:r>
          </w:p>
        </w:tc>
        <w:tc>
          <w:tcPr>
            <w:tcW w:w="657"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RIC</w:t>
            </w:r>
          </w:p>
        </w:tc>
        <w:tc>
          <w:tcPr>
            <w:tcW w:w="855"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p</w:t>
            </w:r>
          </w:p>
        </w:tc>
        <w:tc>
          <w:tcPr>
            <w:tcW w:w="1752"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 xml:space="preserve">Mediana </w:t>
            </w:r>
          </w:p>
        </w:tc>
        <w:tc>
          <w:tcPr>
            <w:tcW w:w="69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RIC</w:t>
            </w:r>
          </w:p>
        </w:tc>
        <w:tc>
          <w:tcPr>
            <w:tcW w:w="898"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p</w:t>
            </w:r>
          </w:p>
        </w:tc>
      </w:tr>
      <w:tr w:rsidR="002F4A87" w:rsidRPr="002F4A87" w:rsidTr="002F4A87">
        <w:trPr>
          <w:trHeight w:val="300"/>
        </w:trPr>
        <w:tc>
          <w:tcPr>
            <w:tcW w:w="280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rPr>
                <w:rFonts w:ascii="Calibri" w:eastAsia="Times New Roman" w:hAnsi="Calibri" w:cs="Calibri"/>
                <w:color w:val="000000"/>
                <w:lang w:eastAsia="es-AR"/>
              </w:rPr>
            </w:pPr>
            <w:r w:rsidRPr="002F4A87">
              <w:rPr>
                <w:rFonts w:ascii="Calibri" w:eastAsia="Times New Roman" w:hAnsi="Calibri" w:cs="Calibri"/>
                <w:color w:val="000000"/>
                <w:lang w:eastAsia="es-AR"/>
              </w:rPr>
              <w:t>Supradesnivel del ST &gt; 2 mm</w:t>
            </w:r>
          </w:p>
        </w:tc>
        <w:tc>
          <w:tcPr>
            <w:tcW w:w="1668"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52</w:t>
            </w:r>
          </w:p>
        </w:tc>
        <w:tc>
          <w:tcPr>
            <w:tcW w:w="657"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79</w:t>
            </w:r>
          </w:p>
        </w:tc>
        <w:tc>
          <w:tcPr>
            <w:tcW w:w="855" w:type="dxa"/>
            <w:vMerge w:val="restart"/>
            <w:tcBorders>
              <w:top w:val="nil"/>
              <w:left w:val="nil"/>
              <w:bottom w:val="nil"/>
              <w:right w:val="nil"/>
            </w:tcBorders>
            <w:shd w:val="clear" w:color="auto" w:fill="auto"/>
            <w:noWrap/>
            <w:vAlign w:val="center"/>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0,08</w:t>
            </w:r>
          </w:p>
        </w:tc>
        <w:tc>
          <w:tcPr>
            <w:tcW w:w="1752"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69</w:t>
            </w:r>
          </w:p>
        </w:tc>
        <w:tc>
          <w:tcPr>
            <w:tcW w:w="69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77</w:t>
            </w:r>
          </w:p>
        </w:tc>
        <w:tc>
          <w:tcPr>
            <w:tcW w:w="898" w:type="dxa"/>
            <w:vMerge w:val="restart"/>
            <w:tcBorders>
              <w:top w:val="nil"/>
              <w:left w:val="nil"/>
              <w:bottom w:val="nil"/>
              <w:right w:val="nil"/>
            </w:tcBorders>
            <w:shd w:val="clear" w:color="auto" w:fill="auto"/>
            <w:noWrap/>
            <w:vAlign w:val="center"/>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0,21</w:t>
            </w:r>
          </w:p>
        </w:tc>
      </w:tr>
      <w:tr w:rsidR="002F4A87" w:rsidRPr="002F4A87" w:rsidTr="002F4A87">
        <w:trPr>
          <w:trHeight w:val="300"/>
        </w:trPr>
        <w:tc>
          <w:tcPr>
            <w:tcW w:w="280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rPr>
                <w:rFonts w:ascii="Calibri" w:eastAsia="Times New Roman" w:hAnsi="Calibri" w:cs="Calibri"/>
                <w:color w:val="000000"/>
                <w:lang w:eastAsia="es-AR"/>
              </w:rPr>
            </w:pPr>
            <w:r w:rsidRPr="002F4A87">
              <w:rPr>
                <w:rFonts w:ascii="Calibri" w:eastAsia="Times New Roman" w:hAnsi="Calibri" w:cs="Calibri"/>
                <w:color w:val="000000"/>
                <w:lang w:eastAsia="es-AR"/>
              </w:rPr>
              <w:t>Infradesnivel del ST</w:t>
            </w:r>
          </w:p>
        </w:tc>
        <w:tc>
          <w:tcPr>
            <w:tcW w:w="1668"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25</w:t>
            </w:r>
          </w:p>
        </w:tc>
        <w:tc>
          <w:tcPr>
            <w:tcW w:w="657"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24</w:t>
            </w:r>
          </w:p>
        </w:tc>
        <w:tc>
          <w:tcPr>
            <w:tcW w:w="855" w:type="dxa"/>
            <w:vMerge/>
            <w:tcBorders>
              <w:top w:val="nil"/>
              <w:left w:val="nil"/>
              <w:bottom w:val="nil"/>
              <w:right w:val="nil"/>
            </w:tcBorders>
            <w:vAlign w:val="center"/>
            <w:hideMark/>
          </w:tcPr>
          <w:p w:rsidR="002F4A87" w:rsidRPr="002F4A87" w:rsidRDefault="002F4A87" w:rsidP="002F4A87">
            <w:pPr>
              <w:spacing w:after="0" w:line="240" w:lineRule="auto"/>
              <w:rPr>
                <w:rFonts w:ascii="Calibri" w:eastAsia="Times New Roman" w:hAnsi="Calibri" w:cs="Calibri"/>
                <w:color w:val="000000"/>
                <w:lang w:eastAsia="es-AR"/>
              </w:rPr>
            </w:pPr>
          </w:p>
        </w:tc>
        <w:tc>
          <w:tcPr>
            <w:tcW w:w="1752"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29</w:t>
            </w:r>
          </w:p>
        </w:tc>
        <w:tc>
          <w:tcPr>
            <w:tcW w:w="69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22</w:t>
            </w:r>
          </w:p>
        </w:tc>
        <w:tc>
          <w:tcPr>
            <w:tcW w:w="898" w:type="dxa"/>
            <w:vMerge/>
            <w:tcBorders>
              <w:top w:val="nil"/>
              <w:left w:val="nil"/>
              <w:bottom w:val="nil"/>
              <w:right w:val="nil"/>
            </w:tcBorders>
            <w:vAlign w:val="center"/>
            <w:hideMark/>
          </w:tcPr>
          <w:p w:rsidR="002F4A87" w:rsidRPr="002F4A87" w:rsidRDefault="002F4A87" w:rsidP="002F4A87">
            <w:pPr>
              <w:spacing w:after="0" w:line="240" w:lineRule="auto"/>
              <w:rPr>
                <w:rFonts w:ascii="Calibri" w:eastAsia="Times New Roman" w:hAnsi="Calibri" w:cs="Calibri"/>
                <w:color w:val="000000"/>
                <w:lang w:eastAsia="es-AR"/>
              </w:rPr>
            </w:pPr>
          </w:p>
        </w:tc>
      </w:tr>
      <w:tr w:rsidR="002F4A87" w:rsidRPr="002F4A87" w:rsidTr="002F4A87">
        <w:trPr>
          <w:trHeight w:val="300"/>
        </w:trPr>
        <w:tc>
          <w:tcPr>
            <w:tcW w:w="280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rPr>
                <w:rFonts w:ascii="Calibri" w:eastAsia="Times New Roman" w:hAnsi="Calibri" w:cs="Calibri"/>
                <w:color w:val="000000"/>
                <w:lang w:eastAsia="es-AR"/>
              </w:rPr>
            </w:pPr>
            <w:r w:rsidRPr="002F4A87">
              <w:rPr>
                <w:rFonts w:ascii="Calibri" w:eastAsia="Times New Roman" w:hAnsi="Calibri" w:cs="Calibri"/>
                <w:color w:val="000000"/>
                <w:lang w:eastAsia="es-AR"/>
              </w:rPr>
              <w:t>Alteraciones de la T</w:t>
            </w:r>
          </w:p>
        </w:tc>
        <w:tc>
          <w:tcPr>
            <w:tcW w:w="1668"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35</w:t>
            </w:r>
          </w:p>
        </w:tc>
        <w:tc>
          <w:tcPr>
            <w:tcW w:w="657"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23</w:t>
            </w:r>
          </w:p>
        </w:tc>
        <w:tc>
          <w:tcPr>
            <w:tcW w:w="855" w:type="dxa"/>
            <w:vMerge/>
            <w:tcBorders>
              <w:top w:val="nil"/>
              <w:left w:val="nil"/>
              <w:bottom w:val="nil"/>
              <w:right w:val="nil"/>
            </w:tcBorders>
            <w:vAlign w:val="center"/>
            <w:hideMark/>
          </w:tcPr>
          <w:p w:rsidR="002F4A87" w:rsidRPr="002F4A87" w:rsidRDefault="002F4A87" w:rsidP="002F4A87">
            <w:pPr>
              <w:spacing w:after="0" w:line="240" w:lineRule="auto"/>
              <w:rPr>
                <w:rFonts w:ascii="Calibri" w:eastAsia="Times New Roman" w:hAnsi="Calibri" w:cs="Calibri"/>
                <w:color w:val="000000"/>
                <w:lang w:eastAsia="es-AR"/>
              </w:rPr>
            </w:pPr>
          </w:p>
        </w:tc>
        <w:tc>
          <w:tcPr>
            <w:tcW w:w="1752"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39</w:t>
            </w:r>
          </w:p>
        </w:tc>
        <w:tc>
          <w:tcPr>
            <w:tcW w:w="690" w:type="dxa"/>
            <w:tcBorders>
              <w:top w:val="nil"/>
              <w:left w:val="nil"/>
              <w:bottom w:val="nil"/>
              <w:right w:val="nil"/>
            </w:tcBorders>
            <w:shd w:val="clear" w:color="auto" w:fill="auto"/>
            <w:noWrap/>
            <w:vAlign w:val="bottom"/>
            <w:hideMark/>
          </w:tcPr>
          <w:p w:rsidR="002F4A87" w:rsidRPr="002F4A87" w:rsidRDefault="002F4A87" w:rsidP="002F4A87">
            <w:pPr>
              <w:spacing w:after="0" w:line="240" w:lineRule="auto"/>
              <w:jc w:val="center"/>
              <w:rPr>
                <w:rFonts w:ascii="Calibri" w:eastAsia="Times New Roman" w:hAnsi="Calibri" w:cs="Calibri"/>
                <w:color w:val="000000"/>
                <w:lang w:eastAsia="es-AR"/>
              </w:rPr>
            </w:pPr>
            <w:r w:rsidRPr="002F4A87">
              <w:rPr>
                <w:rFonts w:ascii="Calibri" w:eastAsia="Times New Roman" w:hAnsi="Calibri" w:cs="Calibri"/>
                <w:color w:val="000000"/>
                <w:lang w:eastAsia="es-AR"/>
              </w:rPr>
              <w:t>23</w:t>
            </w:r>
          </w:p>
        </w:tc>
        <w:tc>
          <w:tcPr>
            <w:tcW w:w="898" w:type="dxa"/>
            <w:vMerge/>
            <w:tcBorders>
              <w:top w:val="nil"/>
              <w:left w:val="nil"/>
              <w:bottom w:val="nil"/>
              <w:right w:val="nil"/>
            </w:tcBorders>
            <w:vAlign w:val="center"/>
            <w:hideMark/>
          </w:tcPr>
          <w:p w:rsidR="002F4A87" w:rsidRPr="002F4A87" w:rsidRDefault="002F4A87" w:rsidP="002F4A87">
            <w:pPr>
              <w:spacing w:after="0" w:line="240" w:lineRule="auto"/>
              <w:rPr>
                <w:rFonts w:ascii="Calibri" w:eastAsia="Times New Roman" w:hAnsi="Calibri" w:cs="Calibri"/>
                <w:color w:val="000000"/>
                <w:lang w:eastAsia="es-AR"/>
              </w:rPr>
            </w:pPr>
          </w:p>
        </w:tc>
      </w:tr>
    </w:tbl>
    <w:p w:rsidR="001904D7" w:rsidRPr="001904D7" w:rsidRDefault="001904D7" w:rsidP="001904D7">
      <w:pPr>
        <w:rPr>
          <w:rFonts w:ascii="Calibri" w:eastAsia="Times New Roman" w:hAnsi="Calibri" w:cs="Calibri"/>
          <w:color w:val="000000"/>
          <w:lang w:eastAsia="es-AR"/>
        </w:rPr>
      </w:pPr>
      <w:r>
        <w:rPr>
          <w:rFonts w:ascii="Arial" w:eastAsia="Times New Roman" w:hAnsi="Arial" w:cs="Arial"/>
          <w:b/>
          <w:bCs/>
          <w:color w:val="000000"/>
          <w:sz w:val="18"/>
          <w:szCs w:val="18"/>
          <w:lang w:eastAsia="es-AR"/>
        </w:rPr>
        <w:br/>
      </w:r>
      <w:r w:rsidR="002F4A87" w:rsidRPr="002F4A87">
        <w:rPr>
          <w:rFonts w:ascii="Arial" w:eastAsia="Times New Roman" w:hAnsi="Arial" w:cs="Arial"/>
          <w:color w:val="000000"/>
          <w:sz w:val="18"/>
          <w:szCs w:val="18"/>
          <w:lang w:eastAsia="es-AR"/>
        </w:rPr>
        <w:t>TnTs: troponina T de alta sensibilidad (en número de veces el límite superior normal), SIAP: síndrome isquémico agudo postoperatorio, UCI: unidad de cuidados intensivos,</w:t>
      </w:r>
      <w:r w:rsidR="00665DAA">
        <w:rPr>
          <w:rFonts w:ascii="Arial" w:eastAsia="Times New Roman" w:hAnsi="Arial" w:cs="Arial"/>
          <w:b/>
          <w:bCs/>
          <w:color w:val="000000"/>
          <w:sz w:val="18"/>
          <w:szCs w:val="18"/>
          <w:lang w:eastAsia="es-AR"/>
        </w:rPr>
        <w:t xml:space="preserve">  </w:t>
      </w:r>
      <w:r w:rsidR="00665DAA" w:rsidRPr="006920AC">
        <w:rPr>
          <w:rFonts w:ascii="Arial" w:eastAsia="Times New Roman" w:hAnsi="Arial" w:cs="Arial"/>
          <w:color w:val="000000"/>
          <w:sz w:val="18"/>
          <w:szCs w:val="18"/>
          <w:lang w:eastAsia="es-AR"/>
        </w:rPr>
        <w:t>ST: segmento ST</w:t>
      </w:r>
      <w:r w:rsidR="00665DAA">
        <w:rPr>
          <w:rFonts w:ascii="Arial" w:eastAsia="Times New Roman" w:hAnsi="Arial" w:cs="Arial"/>
          <w:color w:val="000000"/>
          <w:sz w:val="18"/>
          <w:szCs w:val="18"/>
          <w:lang w:eastAsia="es-AR"/>
        </w:rPr>
        <w:t>,</w:t>
      </w:r>
      <w:r w:rsidR="00665DAA" w:rsidRPr="002F4A87">
        <w:rPr>
          <w:rFonts w:ascii="Arial" w:eastAsia="Times New Roman" w:hAnsi="Arial" w:cs="Arial"/>
          <w:color w:val="000000"/>
          <w:sz w:val="18"/>
          <w:szCs w:val="18"/>
          <w:lang w:eastAsia="es-AR"/>
        </w:rPr>
        <w:t xml:space="preserve"> </w:t>
      </w:r>
      <w:r w:rsidR="002F4A87" w:rsidRPr="002F4A87">
        <w:rPr>
          <w:rFonts w:ascii="Arial" w:eastAsia="Times New Roman" w:hAnsi="Arial" w:cs="Arial"/>
          <w:color w:val="000000"/>
          <w:sz w:val="18"/>
          <w:szCs w:val="18"/>
          <w:lang w:eastAsia="es-AR"/>
        </w:rPr>
        <w:t>RIC: rango intercuartilo</w:t>
      </w:r>
      <w:r w:rsidR="002F4A87">
        <w:rPr>
          <w:rFonts w:ascii="Arial" w:eastAsia="Times New Roman" w:hAnsi="Arial" w:cs="Arial"/>
          <w:color w:val="000000"/>
          <w:sz w:val="18"/>
          <w:szCs w:val="18"/>
          <w:lang w:eastAsia="es-AR"/>
        </w:rPr>
        <w:t>.</w:t>
      </w:r>
    </w:p>
    <w:p w:rsidR="00082154" w:rsidRDefault="001904D7" w:rsidP="00082154">
      <w:pPr>
        <w:spacing w:after="240" w:line="240" w:lineRule="auto"/>
        <w:rPr>
          <w:rFonts w:ascii="Arial" w:eastAsia="Times New Roman" w:hAnsi="Arial" w:cs="Arial"/>
          <w:b/>
          <w:bCs/>
          <w:color w:val="000000"/>
          <w:sz w:val="18"/>
          <w:szCs w:val="18"/>
          <w:lang w:eastAsia="es-AR"/>
        </w:rPr>
      </w:pPr>
      <w:r>
        <w:rPr>
          <w:rFonts w:ascii="Arial" w:eastAsia="Times New Roman" w:hAnsi="Arial" w:cs="Arial"/>
          <w:b/>
          <w:bCs/>
          <w:color w:val="000000"/>
          <w:sz w:val="18"/>
          <w:szCs w:val="18"/>
          <w:lang w:eastAsia="es-AR"/>
        </w:rPr>
        <w:br/>
      </w:r>
      <w:r w:rsidR="002C5FAA">
        <w:rPr>
          <w:rFonts w:ascii="Arial" w:eastAsia="Times New Roman" w:hAnsi="Arial" w:cs="Arial"/>
          <w:b/>
          <w:bCs/>
          <w:color w:val="000000"/>
          <w:sz w:val="18"/>
          <w:szCs w:val="18"/>
          <w:lang w:eastAsia="es-AR"/>
        </w:rPr>
        <w:t>Tabla 6</w:t>
      </w:r>
      <w:r w:rsidR="00082154">
        <w:rPr>
          <w:rFonts w:ascii="Arial" w:eastAsia="Times New Roman" w:hAnsi="Arial" w:cs="Arial"/>
          <w:b/>
          <w:bCs/>
          <w:color w:val="000000"/>
          <w:sz w:val="18"/>
          <w:szCs w:val="18"/>
          <w:lang w:eastAsia="es-AR"/>
        </w:rPr>
        <w:t xml:space="preserve">: </w:t>
      </w:r>
      <w:r w:rsidR="00082154" w:rsidRPr="006920AC">
        <w:rPr>
          <w:rFonts w:ascii="Arial" w:eastAsia="Times New Roman" w:hAnsi="Arial" w:cs="Arial"/>
          <w:b/>
          <w:bCs/>
          <w:color w:val="000000"/>
          <w:sz w:val="18"/>
          <w:szCs w:val="18"/>
          <w:lang w:eastAsia="es-AR"/>
        </w:rPr>
        <w:t xml:space="preserve">Fracción miocardica de creatinfosfoquinasa </w:t>
      </w:r>
      <w:r w:rsidR="00215CB9">
        <w:rPr>
          <w:rFonts w:ascii="Arial" w:eastAsia="Times New Roman" w:hAnsi="Arial" w:cs="Arial"/>
          <w:b/>
          <w:bCs/>
          <w:color w:val="000000"/>
          <w:sz w:val="18"/>
          <w:szCs w:val="18"/>
          <w:lang w:eastAsia="es-AR"/>
        </w:rPr>
        <w:t xml:space="preserve">(CPK-MB) </w:t>
      </w:r>
      <w:r w:rsidR="00082154" w:rsidRPr="006920AC">
        <w:rPr>
          <w:rFonts w:ascii="Arial" w:eastAsia="Times New Roman" w:hAnsi="Arial" w:cs="Arial"/>
          <w:b/>
          <w:bCs/>
          <w:color w:val="000000"/>
          <w:sz w:val="18"/>
          <w:szCs w:val="18"/>
          <w:lang w:eastAsia="es-AR"/>
        </w:rPr>
        <w:t>y alteraciones del electrocardiograma</w:t>
      </w:r>
    </w:p>
    <w:tbl>
      <w:tblPr>
        <w:tblW w:w="9320" w:type="dxa"/>
        <w:tblInd w:w="55" w:type="dxa"/>
        <w:tblCellMar>
          <w:left w:w="70" w:type="dxa"/>
          <w:right w:w="70" w:type="dxa"/>
        </w:tblCellMar>
        <w:tblLook w:val="04A0" w:firstRow="1" w:lastRow="0" w:firstColumn="1" w:lastColumn="0" w:noHBand="0" w:noVBand="1"/>
      </w:tblPr>
      <w:tblGrid>
        <w:gridCol w:w="2800"/>
        <w:gridCol w:w="1668"/>
        <w:gridCol w:w="657"/>
        <w:gridCol w:w="855"/>
        <w:gridCol w:w="1752"/>
        <w:gridCol w:w="690"/>
        <w:gridCol w:w="898"/>
      </w:tblGrid>
      <w:tr w:rsidR="00082154" w:rsidRPr="00AC5E97" w:rsidTr="000F4123">
        <w:trPr>
          <w:trHeight w:val="300"/>
        </w:trPr>
        <w:tc>
          <w:tcPr>
            <w:tcW w:w="2800"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3180" w:type="dxa"/>
            <w:gridSpan w:val="3"/>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Al ingreso a UCI</w:t>
            </w:r>
          </w:p>
        </w:tc>
        <w:tc>
          <w:tcPr>
            <w:tcW w:w="3340" w:type="dxa"/>
            <w:gridSpan w:val="3"/>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A la hora del ingreso a UCI</w:t>
            </w:r>
          </w:p>
        </w:tc>
      </w:tr>
      <w:tr w:rsidR="00082154" w:rsidRPr="00AC5E97" w:rsidTr="000F4123">
        <w:trPr>
          <w:trHeight w:val="300"/>
        </w:trPr>
        <w:tc>
          <w:tcPr>
            <w:tcW w:w="2800"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1668"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657"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855"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p</w:t>
            </w:r>
          </w:p>
        </w:tc>
        <w:tc>
          <w:tcPr>
            <w:tcW w:w="175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 xml:space="preserve">Mediana </w:t>
            </w:r>
          </w:p>
        </w:tc>
        <w:tc>
          <w:tcPr>
            <w:tcW w:w="69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RIC</w:t>
            </w:r>
          </w:p>
        </w:tc>
        <w:tc>
          <w:tcPr>
            <w:tcW w:w="898"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p</w:t>
            </w:r>
          </w:p>
        </w:tc>
      </w:tr>
      <w:tr w:rsidR="00082154" w:rsidRPr="00AC5E97" w:rsidTr="000F4123">
        <w:trPr>
          <w:trHeight w:val="300"/>
        </w:trPr>
        <w:tc>
          <w:tcPr>
            <w:tcW w:w="2800"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r w:rsidRPr="00AC5E97">
              <w:rPr>
                <w:rFonts w:ascii="Calibri" w:eastAsia="Times New Roman" w:hAnsi="Calibri" w:cs="Calibri"/>
                <w:color w:val="000000"/>
                <w:lang w:eastAsia="es-AR"/>
              </w:rPr>
              <w:t>Supradesnivel del ST &gt; 2 mm</w:t>
            </w:r>
          </w:p>
        </w:tc>
        <w:tc>
          <w:tcPr>
            <w:tcW w:w="1668"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2,6</w:t>
            </w:r>
          </w:p>
        </w:tc>
        <w:tc>
          <w:tcPr>
            <w:tcW w:w="657"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0,7</w:t>
            </w:r>
          </w:p>
        </w:tc>
        <w:tc>
          <w:tcPr>
            <w:tcW w:w="855" w:type="dxa"/>
            <w:vMerge w:val="restart"/>
            <w:shd w:val="clear" w:color="auto" w:fill="auto"/>
            <w:noWrap/>
            <w:vAlign w:val="center"/>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0,74</w:t>
            </w:r>
          </w:p>
        </w:tc>
        <w:tc>
          <w:tcPr>
            <w:tcW w:w="175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2,7</w:t>
            </w:r>
          </w:p>
        </w:tc>
        <w:tc>
          <w:tcPr>
            <w:tcW w:w="69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1,2</w:t>
            </w:r>
          </w:p>
        </w:tc>
        <w:tc>
          <w:tcPr>
            <w:tcW w:w="898" w:type="dxa"/>
            <w:vMerge w:val="restart"/>
            <w:shd w:val="clear" w:color="auto" w:fill="auto"/>
            <w:noWrap/>
            <w:vAlign w:val="center"/>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0,94</w:t>
            </w:r>
          </w:p>
        </w:tc>
      </w:tr>
      <w:tr w:rsidR="00082154" w:rsidRPr="00AC5E97" w:rsidTr="000F4123">
        <w:trPr>
          <w:trHeight w:val="300"/>
        </w:trPr>
        <w:tc>
          <w:tcPr>
            <w:tcW w:w="2800"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r w:rsidRPr="00AC5E97">
              <w:rPr>
                <w:rFonts w:ascii="Calibri" w:eastAsia="Times New Roman" w:hAnsi="Calibri" w:cs="Calibri"/>
                <w:color w:val="000000"/>
                <w:lang w:eastAsia="es-AR"/>
              </w:rPr>
              <w:t>Infradesnivel del ST</w:t>
            </w:r>
          </w:p>
        </w:tc>
        <w:tc>
          <w:tcPr>
            <w:tcW w:w="1668"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2,4</w:t>
            </w:r>
          </w:p>
        </w:tc>
        <w:tc>
          <w:tcPr>
            <w:tcW w:w="657"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1,6</w:t>
            </w:r>
          </w:p>
        </w:tc>
        <w:tc>
          <w:tcPr>
            <w:tcW w:w="855" w:type="dxa"/>
            <w:vMerge/>
            <w:vAlign w:val="center"/>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175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2,1</w:t>
            </w:r>
          </w:p>
        </w:tc>
        <w:tc>
          <w:tcPr>
            <w:tcW w:w="69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0,7</w:t>
            </w:r>
          </w:p>
        </w:tc>
        <w:tc>
          <w:tcPr>
            <w:tcW w:w="898" w:type="dxa"/>
            <w:vMerge/>
            <w:vAlign w:val="center"/>
            <w:hideMark/>
          </w:tcPr>
          <w:p w:rsidR="00082154" w:rsidRPr="00AC5E97" w:rsidRDefault="00082154" w:rsidP="00050A30">
            <w:pPr>
              <w:spacing w:after="0" w:line="240" w:lineRule="auto"/>
              <w:rPr>
                <w:rFonts w:ascii="Calibri" w:eastAsia="Times New Roman" w:hAnsi="Calibri" w:cs="Calibri"/>
                <w:color w:val="000000"/>
                <w:lang w:eastAsia="es-AR"/>
              </w:rPr>
            </w:pPr>
          </w:p>
        </w:tc>
      </w:tr>
      <w:tr w:rsidR="00082154" w:rsidRPr="00AC5E97" w:rsidTr="000F4123">
        <w:trPr>
          <w:trHeight w:val="300"/>
        </w:trPr>
        <w:tc>
          <w:tcPr>
            <w:tcW w:w="2800" w:type="dxa"/>
            <w:shd w:val="clear" w:color="auto" w:fill="auto"/>
            <w:noWrap/>
            <w:vAlign w:val="bottom"/>
            <w:hideMark/>
          </w:tcPr>
          <w:p w:rsidR="00082154" w:rsidRPr="00AC5E97" w:rsidRDefault="00082154" w:rsidP="00050A30">
            <w:pPr>
              <w:spacing w:after="0" w:line="240" w:lineRule="auto"/>
              <w:rPr>
                <w:rFonts w:ascii="Calibri" w:eastAsia="Times New Roman" w:hAnsi="Calibri" w:cs="Calibri"/>
                <w:color w:val="000000"/>
                <w:lang w:eastAsia="es-AR"/>
              </w:rPr>
            </w:pPr>
            <w:r w:rsidRPr="00AC5E97">
              <w:rPr>
                <w:rFonts w:ascii="Calibri" w:eastAsia="Times New Roman" w:hAnsi="Calibri" w:cs="Calibri"/>
                <w:color w:val="000000"/>
                <w:lang w:eastAsia="es-AR"/>
              </w:rPr>
              <w:t>Alteraciones de la T</w:t>
            </w:r>
          </w:p>
        </w:tc>
        <w:tc>
          <w:tcPr>
            <w:tcW w:w="1668"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2,6</w:t>
            </w:r>
          </w:p>
        </w:tc>
        <w:tc>
          <w:tcPr>
            <w:tcW w:w="657"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1,5</w:t>
            </w:r>
          </w:p>
        </w:tc>
        <w:tc>
          <w:tcPr>
            <w:tcW w:w="855" w:type="dxa"/>
            <w:vMerge/>
            <w:vAlign w:val="center"/>
            <w:hideMark/>
          </w:tcPr>
          <w:p w:rsidR="00082154" w:rsidRPr="00AC5E97" w:rsidRDefault="00082154" w:rsidP="00050A30">
            <w:pPr>
              <w:spacing w:after="0" w:line="240" w:lineRule="auto"/>
              <w:rPr>
                <w:rFonts w:ascii="Calibri" w:eastAsia="Times New Roman" w:hAnsi="Calibri" w:cs="Calibri"/>
                <w:color w:val="000000"/>
                <w:lang w:eastAsia="es-AR"/>
              </w:rPr>
            </w:pPr>
          </w:p>
        </w:tc>
        <w:tc>
          <w:tcPr>
            <w:tcW w:w="1752"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2,3</w:t>
            </w:r>
          </w:p>
        </w:tc>
        <w:tc>
          <w:tcPr>
            <w:tcW w:w="690" w:type="dxa"/>
            <w:shd w:val="clear" w:color="auto" w:fill="auto"/>
            <w:noWrap/>
            <w:vAlign w:val="bottom"/>
            <w:hideMark/>
          </w:tcPr>
          <w:p w:rsidR="00082154" w:rsidRPr="00AC5E97" w:rsidRDefault="00082154" w:rsidP="00050A30">
            <w:pPr>
              <w:spacing w:after="0" w:line="240" w:lineRule="auto"/>
              <w:jc w:val="center"/>
              <w:rPr>
                <w:rFonts w:ascii="Calibri" w:eastAsia="Times New Roman" w:hAnsi="Calibri" w:cs="Calibri"/>
                <w:color w:val="000000"/>
                <w:lang w:eastAsia="es-AR"/>
              </w:rPr>
            </w:pPr>
            <w:r w:rsidRPr="00AC5E97">
              <w:rPr>
                <w:rFonts w:ascii="Calibri" w:eastAsia="Times New Roman" w:hAnsi="Calibri" w:cs="Calibri"/>
                <w:color w:val="000000"/>
                <w:lang w:eastAsia="es-AR"/>
              </w:rPr>
              <w:t>1,6</w:t>
            </w:r>
          </w:p>
        </w:tc>
        <w:tc>
          <w:tcPr>
            <w:tcW w:w="898" w:type="dxa"/>
            <w:vMerge/>
            <w:vAlign w:val="center"/>
            <w:hideMark/>
          </w:tcPr>
          <w:p w:rsidR="00082154" w:rsidRPr="00AC5E97" w:rsidRDefault="00082154" w:rsidP="00050A30">
            <w:pPr>
              <w:spacing w:after="0" w:line="240" w:lineRule="auto"/>
              <w:rPr>
                <w:rFonts w:ascii="Calibri" w:eastAsia="Times New Roman" w:hAnsi="Calibri" w:cs="Calibri"/>
                <w:color w:val="000000"/>
                <w:lang w:eastAsia="es-AR"/>
              </w:rPr>
            </w:pPr>
          </w:p>
        </w:tc>
      </w:tr>
    </w:tbl>
    <w:p w:rsidR="00082154" w:rsidRPr="006920AC" w:rsidRDefault="00082154" w:rsidP="00082154">
      <w:pPr>
        <w:spacing w:after="240" w:line="240" w:lineRule="auto"/>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br/>
      </w:r>
      <w:r w:rsidRPr="006920AC">
        <w:rPr>
          <w:rFonts w:ascii="Arial" w:eastAsia="Times New Roman" w:hAnsi="Arial" w:cs="Arial"/>
          <w:color w:val="000000"/>
          <w:sz w:val="18"/>
          <w:szCs w:val="18"/>
          <w:lang w:eastAsia="es-AR"/>
        </w:rPr>
        <w:t>UCI: unidad de cuidados intensivos, RIC: rango intercuartilo</w:t>
      </w:r>
      <w:r>
        <w:rPr>
          <w:rFonts w:ascii="Arial" w:eastAsia="Times New Roman" w:hAnsi="Arial" w:cs="Arial"/>
          <w:color w:val="000000"/>
          <w:sz w:val="18"/>
          <w:szCs w:val="18"/>
          <w:lang w:eastAsia="es-AR"/>
        </w:rPr>
        <w:t>.</w:t>
      </w:r>
      <w:r w:rsidR="00FF39A7">
        <w:rPr>
          <w:rFonts w:ascii="Arial" w:eastAsia="Times New Roman" w:hAnsi="Arial" w:cs="Arial"/>
          <w:b/>
          <w:bCs/>
          <w:color w:val="000000"/>
          <w:sz w:val="18"/>
          <w:szCs w:val="18"/>
          <w:lang w:eastAsia="es-AR"/>
        </w:rPr>
        <w:pict>
          <v:rect id="_x0000_i1026" style="width:0;height:.75pt" o:hralign="center" o:hrstd="t" o:hrnoshade="t" o:hr="t" fillcolor="#aaa" stroked="f"/>
        </w:pict>
      </w:r>
    </w:p>
    <w:p w:rsidR="00082154" w:rsidRPr="006920AC" w:rsidRDefault="00082154" w:rsidP="00082154">
      <w:pPr>
        <w:spacing w:before="100" w:beforeAutospacing="1" w:after="100" w:afterAutospacing="1" w:line="240" w:lineRule="auto"/>
        <w:outlineLvl w:val="1"/>
        <w:rPr>
          <w:rFonts w:ascii="Arial" w:eastAsia="Times New Roman" w:hAnsi="Arial" w:cs="Arial"/>
          <w:b/>
          <w:bCs/>
          <w:color w:val="000000"/>
          <w:sz w:val="18"/>
          <w:szCs w:val="18"/>
          <w:lang w:eastAsia="es-AR"/>
        </w:rPr>
      </w:pPr>
      <w:r w:rsidRPr="006920AC">
        <w:rPr>
          <w:rFonts w:ascii="Arial" w:eastAsia="Times New Roman" w:hAnsi="Arial" w:cs="Arial"/>
          <w:b/>
          <w:bCs/>
          <w:color w:val="000000"/>
          <w:sz w:val="18"/>
          <w:szCs w:val="18"/>
          <w:lang w:eastAsia="es-AR"/>
        </w:rPr>
        <w:t>Figuras</w:t>
      </w:r>
    </w:p>
    <w:p w:rsidR="00082154"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b/>
          <w:bCs/>
          <w:color w:val="000000"/>
          <w:sz w:val="18"/>
          <w:szCs w:val="18"/>
          <w:lang w:eastAsia="es-AR"/>
        </w:rPr>
        <w:lastRenderedPageBreak/>
        <w:t>Figura 1</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Liberación p</w:t>
      </w:r>
      <w:r w:rsidR="00E0137F">
        <w:rPr>
          <w:rFonts w:ascii="Arial" w:eastAsia="Times New Roman" w:hAnsi="Arial" w:cs="Arial"/>
          <w:b/>
          <w:bCs/>
          <w:color w:val="000000"/>
          <w:sz w:val="18"/>
          <w:szCs w:val="18"/>
          <w:lang w:eastAsia="es-AR"/>
        </w:rPr>
        <w:t>o</w:t>
      </w:r>
      <w:r w:rsidRPr="006920AC">
        <w:rPr>
          <w:rFonts w:ascii="Arial" w:eastAsia="Times New Roman" w:hAnsi="Arial" w:cs="Arial"/>
          <w:b/>
          <w:bCs/>
          <w:color w:val="000000"/>
          <w:sz w:val="18"/>
          <w:szCs w:val="18"/>
          <w:lang w:eastAsia="es-AR"/>
        </w:rPr>
        <w:t>stoperatoria de Troponina T ultrasensible</w:t>
      </w:r>
      <w:r w:rsidRPr="006920AC">
        <w:rPr>
          <w:rFonts w:ascii="Arial" w:eastAsia="Times New Roman" w:hAnsi="Arial" w:cs="Arial"/>
          <w:b/>
          <w:bCs/>
          <w:color w:val="000000"/>
          <w:sz w:val="18"/>
          <w:szCs w:val="18"/>
          <w:lang w:eastAsia="es-AR"/>
        </w:rPr>
        <w:br/>
      </w:r>
      <w:r w:rsidR="002C5FAA">
        <w:rPr>
          <w:rFonts w:ascii="Arial" w:eastAsia="Times New Roman" w:hAnsi="Arial" w:cs="Arial"/>
          <w:noProof/>
          <w:color w:val="000000"/>
          <w:sz w:val="18"/>
          <w:szCs w:val="18"/>
          <w:lang w:eastAsia="es-AR"/>
        </w:rPr>
        <w:drawing>
          <wp:inline distT="0" distB="0" distL="0" distR="0">
            <wp:extent cx="6120130" cy="4590415"/>
            <wp:effectExtent l="0" t="0" r="0" b="635"/>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the-Fig 1.jpg"/>
                    <pic:cNvPicPr/>
                  </pic:nvPicPr>
                  <pic:blipFill>
                    <a:blip r:embed="rId17">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rsidR="00082154" w:rsidRDefault="00082154" w:rsidP="00082154">
      <w:pPr>
        <w:spacing w:after="0" w:line="240" w:lineRule="auto"/>
        <w:rPr>
          <w:rFonts w:ascii="Arial" w:eastAsia="Times New Roman" w:hAnsi="Arial" w:cs="Arial"/>
          <w:color w:val="000000"/>
          <w:sz w:val="18"/>
          <w:szCs w:val="18"/>
          <w:lang w:eastAsia="es-AR"/>
        </w:rPr>
      </w:pPr>
    </w:p>
    <w:p w:rsidR="00082154"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color w:val="000000"/>
          <w:sz w:val="18"/>
          <w:szCs w:val="18"/>
          <w:lang w:eastAsia="es-AR"/>
        </w:rPr>
        <w:t>TnTs: troponina T de alta sensibilidad, 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tercer cuartilo, LIS: límite interno superior (rango intercuartilo x 1,5 + 3</w:t>
      </w:r>
      <w:r>
        <w:rPr>
          <w:rFonts w:ascii="Arial" w:eastAsia="Times New Roman" w:hAnsi="Arial" w:cs="Arial"/>
          <w:color w:val="000000"/>
          <w:sz w:val="18"/>
          <w:szCs w:val="18"/>
          <w:lang w:eastAsia="es-AR"/>
        </w:rPr>
        <w:t xml:space="preserve"> </w:t>
      </w:r>
      <w:r w:rsidRPr="006920AC">
        <w:rPr>
          <w:rFonts w:ascii="Arial" w:eastAsia="Times New Roman" w:hAnsi="Arial" w:cs="Arial"/>
          <w:color w:val="000000"/>
          <w:sz w:val="18"/>
          <w:szCs w:val="18"/>
          <w:lang w:eastAsia="es-AR"/>
        </w:rPr>
        <w:t>ºC), LES: límite externo superior (rango intercuartilo x 3 + 3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Entre paréntesis, a un lado del valor, su equivalente en número de veces el límite superior del valor normal de un paciente no operado. En los rectángulos, el porcentaje de pacientes ubicados entre los estratos (mediana-3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ºC-LIS, LIS-LES, LES-4</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w:t>
      </w:r>
    </w:p>
    <w:p w:rsidR="00082154" w:rsidRDefault="00082154" w:rsidP="00082154">
      <w:pPr>
        <w:spacing w:after="0" w:line="240" w:lineRule="auto"/>
        <w:rPr>
          <w:rFonts w:ascii="Arial" w:eastAsia="Times New Roman" w:hAnsi="Arial" w:cs="Arial"/>
          <w:color w:val="000000"/>
          <w:sz w:val="18"/>
          <w:szCs w:val="18"/>
          <w:lang w:eastAsia="es-AR"/>
        </w:rPr>
      </w:pPr>
      <w:r w:rsidRPr="006920AC">
        <w:rPr>
          <w:rFonts w:ascii="Arial" w:eastAsia="Times New Roman" w:hAnsi="Arial" w:cs="Arial"/>
          <w:b/>
          <w:bCs/>
          <w:color w:val="000000"/>
          <w:sz w:val="18"/>
          <w:szCs w:val="18"/>
          <w:lang w:eastAsia="es-AR"/>
        </w:rPr>
        <w:br/>
      </w:r>
      <w:r w:rsidRPr="006920AC">
        <w:rPr>
          <w:rFonts w:ascii="Arial" w:eastAsia="Times New Roman" w:hAnsi="Arial" w:cs="Arial"/>
          <w:b/>
          <w:bCs/>
          <w:color w:val="000000"/>
          <w:sz w:val="18"/>
          <w:szCs w:val="18"/>
          <w:lang w:eastAsia="es-AR"/>
        </w:rPr>
        <w:br/>
        <w:t>Figura 2</w:t>
      </w:r>
      <w:r>
        <w:rPr>
          <w:rFonts w:ascii="Arial" w:eastAsia="Times New Roman" w:hAnsi="Arial" w:cs="Arial"/>
          <w:b/>
          <w:bCs/>
          <w:color w:val="000000"/>
          <w:sz w:val="18"/>
          <w:szCs w:val="18"/>
          <w:lang w:eastAsia="es-AR"/>
        </w:rPr>
        <w:t xml:space="preserve">: </w:t>
      </w:r>
      <w:r w:rsidRPr="006920AC">
        <w:rPr>
          <w:rFonts w:ascii="Arial" w:eastAsia="Times New Roman" w:hAnsi="Arial" w:cs="Arial"/>
          <w:b/>
          <w:bCs/>
          <w:color w:val="000000"/>
          <w:sz w:val="18"/>
          <w:szCs w:val="18"/>
          <w:lang w:eastAsia="es-AR"/>
        </w:rPr>
        <w:t>Liberación postoperatoria de fracción miocardica de creatinfosfoquinasa</w:t>
      </w:r>
      <w:r w:rsidRPr="006920AC">
        <w:rPr>
          <w:rFonts w:ascii="Arial" w:eastAsia="Times New Roman" w:hAnsi="Arial" w:cs="Arial"/>
          <w:b/>
          <w:bCs/>
          <w:color w:val="000000"/>
          <w:sz w:val="18"/>
          <w:szCs w:val="18"/>
          <w:lang w:eastAsia="es-AR"/>
        </w:rPr>
        <w:br/>
      </w:r>
      <w:r w:rsidR="002C5FAA">
        <w:rPr>
          <w:rFonts w:ascii="Arial" w:eastAsia="Times New Roman" w:hAnsi="Arial" w:cs="Arial"/>
          <w:b/>
          <w:bCs/>
          <w:noProof/>
          <w:color w:val="000000"/>
          <w:sz w:val="18"/>
          <w:szCs w:val="18"/>
          <w:lang w:eastAsia="es-AR"/>
        </w:rPr>
        <w:lastRenderedPageBreak/>
        <w:drawing>
          <wp:inline distT="0" distB="0" distL="0" distR="0">
            <wp:extent cx="5381625" cy="3495675"/>
            <wp:effectExtent l="0" t="0" r="9525" b="9525"/>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the-Fig 2.jpg"/>
                    <pic:cNvPicPr/>
                  </pic:nvPicPr>
                  <pic:blipFill>
                    <a:blip r:embed="rId18">
                      <a:extLst>
                        <a:ext uri="{28A0092B-C50C-407E-A947-70E740481C1C}">
                          <a14:useLocalDpi xmlns:a14="http://schemas.microsoft.com/office/drawing/2010/main" val="0"/>
                        </a:ext>
                      </a:extLst>
                    </a:blip>
                    <a:stretch>
                      <a:fillRect/>
                    </a:stretch>
                  </pic:blipFill>
                  <pic:spPr>
                    <a:xfrm>
                      <a:off x="0" y="0"/>
                      <a:ext cx="5381625" cy="3495675"/>
                    </a:xfrm>
                    <a:prstGeom prst="rect">
                      <a:avLst/>
                    </a:prstGeom>
                  </pic:spPr>
                </pic:pic>
              </a:graphicData>
            </a:graphic>
          </wp:inline>
        </w:drawing>
      </w:r>
      <w:r w:rsidRPr="006920AC">
        <w:rPr>
          <w:rFonts w:ascii="Arial" w:eastAsia="Times New Roman" w:hAnsi="Arial" w:cs="Arial"/>
          <w:b/>
          <w:bCs/>
          <w:color w:val="000000"/>
          <w:sz w:val="18"/>
          <w:szCs w:val="18"/>
          <w:lang w:eastAsia="es-AR"/>
        </w:rPr>
        <w:br/>
      </w:r>
      <w:r w:rsidRPr="006920AC">
        <w:rPr>
          <w:rFonts w:ascii="Arial" w:eastAsia="Times New Roman" w:hAnsi="Arial" w:cs="Arial"/>
          <w:color w:val="000000"/>
          <w:sz w:val="18"/>
          <w:szCs w:val="18"/>
          <w:lang w:eastAsia="es-AR"/>
        </w:rPr>
        <w:t>CPK-MB: fracción miocárdica de la creatinfosfoquinasa, 3º C: tercer cuartilo, LIS: límite interno superior (rango intercuartilo x 1,5 + 3º C), LES: límite externo superior (rango intercuartilo x 3 + 3º C). Entre paréntesis, a un lado del valor, su equivalente en número de veces el límite superior del valor normal de un paciente no operado. En los rectángulos, el porcentaje de pacientes ubicados entre los estratos (mediana</w:t>
      </w:r>
      <w:r>
        <w:rPr>
          <w:rFonts w:ascii="Arial" w:eastAsia="Times New Roman" w:hAnsi="Arial" w:cs="Arial"/>
          <w:color w:val="000000"/>
          <w:sz w:val="18"/>
          <w:szCs w:val="18"/>
          <w:lang w:eastAsia="es-AR"/>
        </w:rPr>
        <w:t xml:space="preserve"> </w:t>
      </w:r>
      <w:r w:rsidRPr="006920AC">
        <w:rPr>
          <w:rFonts w:ascii="Arial" w:eastAsia="Times New Roman" w:hAnsi="Arial" w:cs="Arial"/>
          <w:color w:val="000000"/>
          <w:sz w:val="18"/>
          <w:szCs w:val="18"/>
          <w:lang w:eastAsia="es-AR"/>
        </w:rPr>
        <w:t>-3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 3</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ºC-LIS, LIS-LES, LES</w:t>
      </w:r>
      <w:r>
        <w:rPr>
          <w:rFonts w:ascii="Arial" w:eastAsia="Times New Roman" w:hAnsi="Arial" w:cs="Arial"/>
          <w:color w:val="000000"/>
          <w:sz w:val="18"/>
          <w:szCs w:val="18"/>
          <w:lang w:eastAsia="es-AR"/>
        </w:rPr>
        <w:t xml:space="preserve"> </w:t>
      </w:r>
      <w:r w:rsidRPr="006920AC">
        <w:rPr>
          <w:rFonts w:ascii="Arial" w:eastAsia="Times New Roman" w:hAnsi="Arial" w:cs="Arial"/>
          <w:color w:val="000000"/>
          <w:sz w:val="18"/>
          <w:szCs w:val="18"/>
          <w:lang w:eastAsia="es-AR"/>
        </w:rPr>
        <w:t>-4</w:t>
      </w:r>
      <w:r>
        <w:rPr>
          <w:rFonts w:ascii="Arial" w:eastAsia="Times New Roman" w:hAnsi="Arial" w:cs="Arial"/>
          <w:color w:val="000000"/>
          <w:sz w:val="18"/>
          <w:szCs w:val="18"/>
          <w:lang w:eastAsia="es-AR"/>
        </w:rPr>
        <w:t> </w:t>
      </w:r>
      <w:r w:rsidRPr="006920AC">
        <w:rPr>
          <w:rFonts w:ascii="Arial" w:eastAsia="Times New Roman" w:hAnsi="Arial" w:cs="Arial"/>
          <w:color w:val="000000"/>
          <w:sz w:val="18"/>
          <w:szCs w:val="18"/>
          <w:lang w:eastAsia="es-AR"/>
        </w:rPr>
        <w:t>ºC).</w:t>
      </w:r>
    </w:p>
    <w:p w:rsidR="00082154" w:rsidRPr="006920AC" w:rsidRDefault="00FF39A7" w:rsidP="00082154">
      <w:pPr>
        <w:spacing w:after="0" w:line="240" w:lineRule="auto"/>
        <w:rPr>
          <w:rFonts w:ascii="Arial" w:eastAsia="Times New Roman" w:hAnsi="Arial" w:cs="Arial"/>
          <w:b/>
          <w:bCs/>
          <w:color w:val="000000"/>
          <w:sz w:val="18"/>
          <w:szCs w:val="18"/>
          <w:lang w:eastAsia="es-AR"/>
        </w:rPr>
      </w:pPr>
      <w:r>
        <w:rPr>
          <w:rFonts w:ascii="Arial" w:eastAsia="Times New Roman" w:hAnsi="Arial" w:cs="Arial"/>
          <w:b/>
          <w:bCs/>
          <w:color w:val="000000"/>
          <w:sz w:val="18"/>
          <w:szCs w:val="18"/>
          <w:lang w:eastAsia="es-AR"/>
        </w:rPr>
        <w:pict>
          <v:rect id="_x0000_i1027" style="width:0;height:.75pt" o:hralign="center" o:hrstd="t" o:hrnoshade="t" o:hr="t" fillcolor="#aaa" stroked="f"/>
        </w:pict>
      </w:r>
    </w:p>
    <w:p w:rsidR="00082154" w:rsidRDefault="00082154" w:rsidP="00082154">
      <w:pPr>
        <w:spacing w:after="0" w:line="240" w:lineRule="auto"/>
        <w:rPr>
          <w:rFonts w:ascii="Tahoma" w:eastAsia="Times New Roman" w:hAnsi="Tahoma" w:cs="Tahoma"/>
          <w:b/>
          <w:bCs/>
          <w:color w:val="000000"/>
          <w:sz w:val="18"/>
          <w:szCs w:val="18"/>
          <w:lang w:eastAsia="es-AR"/>
        </w:rPr>
      </w:pPr>
    </w:p>
    <w:p w:rsidR="00082154" w:rsidRDefault="00082154" w:rsidP="00082154">
      <w:pPr>
        <w:spacing w:after="0" w:line="240" w:lineRule="auto"/>
        <w:rPr>
          <w:rFonts w:ascii="Tahoma" w:eastAsia="Times New Roman" w:hAnsi="Tahoma" w:cs="Tahoma"/>
          <w:b/>
          <w:bCs/>
          <w:color w:val="000000"/>
          <w:sz w:val="18"/>
          <w:szCs w:val="18"/>
          <w:lang w:eastAsia="es-AR"/>
        </w:rPr>
      </w:pPr>
      <w:r w:rsidRPr="006920AC">
        <w:rPr>
          <w:rFonts w:ascii="Tahoma" w:eastAsia="Times New Roman" w:hAnsi="Tahoma" w:cs="Tahoma"/>
          <w:b/>
          <w:bCs/>
          <w:color w:val="000000"/>
          <w:sz w:val="18"/>
          <w:szCs w:val="18"/>
          <w:lang w:eastAsia="es-AR"/>
        </w:rPr>
        <w:t>Bibliografía</w:t>
      </w:r>
    </w:p>
    <w:p w:rsidR="00082154" w:rsidRPr="006920AC" w:rsidRDefault="00082154" w:rsidP="00082154">
      <w:pPr>
        <w:spacing w:after="0" w:line="240" w:lineRule="auto"/>
        <w:rPr>
          <w:rFonts w:ascii="Tahoma" w:eastAsia="Times New Roman" w:hAnsi="Tahoma" w:cs="Tahoma"/>
          <w:b/>
          <w:bCs/>
          <w:color w:val="000000"/>
          <w:sz w:val="18"/>
          <w:szCs w:val="18"/>
          <w:lang w:eastAsia="es-A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9452"/>
      </w:tblGrid>
      <w:tr w:rsidR="00082154" w:rsidRPr="006920AC" w:rsidTr="00050A30">
        <w:trPr>
          <w:tblCellSpacing w:w="15" w:type="dxa"/>
        </w:trPr>
        <w:tc>
          <w:tcPr>
            <w:tcW w:w="0" w:type="auto"/>
            <w:hideMark/>
          </w:tcPr>
          <w:p w:rsidR="00082154" w:rsidRPr="006920AC" w:rsidRDefault="00082154" w:rsidP="00050A30">
            <w:pPr>
              <w:spacing w:after="0" w:line="240" w:lineRule="auto"/>
              <w:jc w:val="right"/>
              <w:rPr>
                <w:rFonts w:ascii="Arial" w:eastAsia="Times New Roman" w:hAnsi="Arial" w:cs="Arial"/>
                <w:sz w:val="18"/>
                <w:szCs w:val="18"/>
                <w:lang w:eastAsia="es-AR"/>
              </w:rPr>
            </w:pPr>
            <w:r w:rsidRPr="006920AC">
              <w:rPr>
                <w:rFonts w:ascii="Arial" w:eastAsia="Times New Roman" w:hAnsi="Arial" w:cs="Arial"/>
                <w:sz w:val="18"/>
                <w:szCs w:val="18"/>
                <w:lang w:eastAsia="es-AR"/>
              </w:rPr>
              <w:t> 1.</w:t>
            </w:r>
          </w:p>
        </w:tc>
        <w:tc>
          <w:tcPr>
            <w:tcW w:w="0" w:type="auto"/>
            <w:hideMark/>
          </w:tcPr>
          <w:p w:rsidR="00082154" w:rsidRPr="006920AC" w:rsidRDefault="00082154" w:rsidP="00050A30">
            <w:pPr>
              <w:spacing w:after="0" w:line="240" w:lineRule="auto"/>
              <w:rPr>
                <w:rFonts w:ascii="Arial" w:eastAsia="Times New Roman" w:hAnsi="Arial" w:cs="Arial"/>
                <w:sz w:val="18"/>
                <w:szCs w:val="18"/>
                <w:lang w:eastAsia="es-AR"/>
              </w:rPr>
            </w:pPr>
            <w:r w:rsidRPr="006920AC">
              <w:rPr>
                <w:rFonts w:ascii="Arial" w:eastAsia="Times New Roman" w:hAnsi="Arial" w:cs="Arial"/>
                <w:sz w:val="18"/>
                <w:szCs w:val="18"/>
                <w:lang w:eastAsia="es-AR"/>
              </w:rPr>
              <w:t xml:space="preserve">Hueb W, Gersh BJ, Alves Da Costa LM, et al. </w:t>
            </w:r>
            <w:r w:rsidRPr="00BC0303">
              <w:rPr>
                <w:rFonts w:ascii="Arial" w:eastAsia="Times New Roman" w:hAnsi="Arial" w:cs="Arial"/>
                <w:sz w:val="18"/>
                <w:szCs w:val="18"/>
                <w:lang w:val="en-US" w:eastAsia="es-AR"/>
              </w:rPr>
              <w:t>Accuracy of myocardial biomarkers in the diagnosis of myocardial infarction after revascularization as assessed by cardiac resonance: The Medicine, Angioplasty, </w:t>
            </w:r>
            <w:proofErr w:type="gramStart"/>
            <w:r w:rsidRPr="00BC0303">
              <w:rPr>
                <w:rFonts w:ascii="Arial" w:eastAsia="Times New Roman" w:hAnsi="Arial" w:cs="Arial"/>
                <w:sz w:val="18"/>
                <w:szCs w:val="18"/>
                <w:lang w:val="en-US" w:eastAsia="es-AR"/>
              </w:rPr>
              <w:t>Surgery</w:t>
            </w:r>
            <w:proofErr w:type="gramEnd"/>
            <w:r w:rsidRPr="00BC0303">
              <w:rPr>
                <w:rFonts w:ascii="Arial" w:eastAsia="Times New Roman" w:hAnsi="Arial" w:cs="Arial"/>
                <w:sz w:val="18"/>
                <w:szCs w:val="18"/>
                <w:lang w:val="en-US" w:eastAsia="es-AR"/>
              </w:rPr>
              <w:t xml:space="preserve"> Study V (MASS-V) Trial. </w:t>
            </w:r>
            <w:r w:rsidRPr="006920AC">
              <w:rPr>
                <w:rFonts w:ascii="Arial" w:eastAsia="Times New Roman" w:hAnsi="Arial" w:cs="Arial"/>
                <w:sz w:val="18"/>
                <w:szCs w:val="18"/>
                <w:lang w:eastAsia="es-AR"/>
              </w:rPr>
              <w:t>Ann Thorac Surg. 2016</w:t>
            </w:r>
            <w:proofErr w:type="gramStart"/>
            <w:r w:rsidRPr="006920AC">
              <w:rPr>
                <w:rFonts w:ascii="Arial" w:eastAsia="Times New Roman" w:hAnsi="Arial" w:cs="Arial"/>
                <w:sz w:val="18"/>
                <w:szCs w:val="18"/>
                <w:lang w:eastAsia="es-AR"/>
              </w:rPr>
              <w:t>;101:2202</w:t>
            </w:r>
            <w:proofErr w:type="gramEnd"/>
            <w:r w:rsidRPr="006920AC">
              <w:rPr>
                <w:rFonts w:ascii="Arial" w:eastAsia="Times New Roman" w:hAnsi="Arial" w:cs="Arial"/>
                <w:sz w:val="18"/>
                <w:szCs w:val="18"/>
                <w:lang w:eastAsia="es-AR"/>
              </w:rPr>
              <w:t>-2208. Disponible en</w:t>
            </w:r>
            <w:r>
              <w:rPr>
                <w:rFonts w:ascii="Arial" w:eastAsia="Times New Roman" w:hAnsi="Arial" w:cs="Arial"/>
                <w:sz w:val="18"/>
                <w:szCs w:val="18"/>
                <w:lang w:eastAsia="es-AR"/>
              </w:rPr>
              <w:t>:</w:t>
            </w:r>
            <w:r w:rsidRPr="006920AC">
              <w:rPr>
                <w:rFonts w:ascii="Arial" w:eastAsia="Times New Roman" w:hAnsi="Arial" w:cs="Arial"/>
                <w:sz w:val="18"/>
                <w:szCs w:val="18"/>
                <w:lang w:eastAsia="es-AR"/>
              </w:rPr>
              <w:t xml:space="preserve"> https://www.annalsthoracicsurgery.org/article/S0003-4975(15)01883-4/fulltext</w:t>
            </w:r>
          </w:p>
        </w:tc>
      </w:tr>
      <w:tr w:rsidR="00082154" w:rsidRPr="006920AC" w:rsidTr="00050A30">
        <w:trPr>
          <w:tblCellSpacing w:w="15" w:type="dxa"/>
        </w:trPr>
        <w:tc>
          <w:tcPr>
            <w:tcW w:w="0" w:type="auto"/>
            <w:hideMark/>
          </w:tcPr>
          <w:p w:rsidR="00082154" w:rsidRPr="006920AC" w:rsidRDefault="00082154" w:rsidP="00050A30">
            <w:pPr>
              <w:spacing w:after="0" w:line="240" w:lineRule="auto"/>
              <w:jc w:val="right"/>
              <w:rPr>
                <w:rFonts w:ascii="Arial" w:eastAsia="Times New Roman" w:hAnsi="Arial" w:cs="Arial"/>
                <w:sz w:val="18"/>
                <w:szCs w:val="18"/>
                <w:lang w:eastAsia="es-AR"/>
              </w:rPr>
            </w:pPr>
            <w:r w:rsidRPr="006920AC">
              <w:rPr>
                <w:rFonts w:ascii="Arial" w:eastAsia="Times New Roman" w:hAnsi="Arial" w:cs="Arial"/>
                <w:sz w:val="18"/>
                <w:szCs w:val="18"/>
                <w:lang w:eastAsia="es-AR"/>
              </w:rPr>
              <w:t> 2.</w:t>
            </w:r>
          </w:p>
        </w:tc>
        <w:tc>
          <w:tcPr>
            <w:tcW w:w="0" w:type="auto"/>
            <w:hideMark/>
          </w:tcPr>
          <w:p w:rsidR="00082154" w:rsidRPr="006920AC" w:rsidRDefault="00082154" w:rsidP="00050A30">
            <w:pPr>
              <w:spacing w:after="0" w:line="240" w:lineRule="auto"/>
              <w:rPr>
                <w:rFonts w:ascii="Arial" w:eastAsia="Times New Roman" w:hAnsi="Arial" w:cs="Arial"/>
                <w:sz w:val="18"/>
                <w:szCs w:val="18"/>
                <w:lang w:eastAsia="es-AR"/>
              </w:rPr>
            </w:pPr>
            <w:r w:rsidRPr="00BC0303">
              <w:rPr>
                <w:rFonts w:ascii="Arial" w:eastAsia="Times New Roman" w:hAnsi="Arial" w:cs="Arial"/>
                <w:sz w:val="18"/>
                <w:szCs w:val="18"/>
                <w:lang w:val="en-US" w:eastAsia="es-AR"/>
              </w:rPr>
              <w:t xml:space="preserve">Jain U. Myocardial ischemia after cardiopulmonary bypass. </w:t>
            </w:r>
            <w:r w:rsidRPr="006920AC">
              <w:rPr>
                <w:rFonts w:ascii="Arial" w:eastAsia="Times New Roman" w:hAnsi="Arial" w:cs="Arial"/>
                <w:sz w:val="18"/>
                <w:szCs w:val="18"/>
                <w:lang w:eastAsia="es-AR"/>
              </w:rPr>
              <w:t>J Card Surg. 1995</w:t>
            </w:r>
            <w:proofErr w:type="gramStart"/>
            <w:r w:rsidRPr="006920AC">
              <w:rPr>
                <w:rFonts w:ascii="Arial" w:eastAsia="Times New Roman" w:hAnsi="Arial" w:cs="Arial"/>
                <w:sz w:val="18"/>
                <w:szCs w:val="18"/>
                <w:lang w:eastAsia="es-AR"/>
              </w:rPr>
              <w:t>;10:520</w:t>
            </w:r>
            <w:proofErr w:type="gramEnd"/>
            <w:r w:rsidRPr="006920AC">
              <w:rPr>
                <w:rFonts w:ascii="Arial" w:eastAsia="Times New Roman" w:hAnsi="Arial" w:cs="Arial"/>
                <w:sz w:val="18"/>
                <w:szCs w:val="18"/>
                <w:lang w:eastAsia="es-AR"/>
              </w:rPr>
              <w:t>-526.</w:t>
            </w:r>
          </w:p>
        </w:tc>
      </w:tr>
      <w:tr w:rsidR="00082154" w:rsidRPr="006920AC" w:rsidTr="00050A30">
        <w:trPr>
          <w:tblCellSpacing w:w="15" w:type="dxa"/>
        </w:trPr>
        <w:tc>
          <w:tcPr>
            <w:tcW w:w="0" w:type="auto"/>
            <w:hideMark/>
          </w:tcPr>
          <w:p w:rsidR="00082154" w:rsidRPr="006920AC" w:rsidRDefault="00082154" w:rsidP="00050A30">
            <w:pPr>
              <w:spacing w:after="0" w:line="240" w:lineRule="auto"/>
              <w:jc w:val="right"/>
              <w:rPr>
                <w:rFonts w:ascii="Arial" w:eastAsia="Times New Roman" w:hAnsi="Arial" w:cs="Arial"/>
                <w:sz w:val="18"/>
                <w:szCs w:val="18"/>
                <w:lang w:eastAsia="es-AR"/>
              </w:rPr>
            </w:pPr>
            <w:r w:rsidRPr="006920AC">
              <w:rPr>
                <w:rFonts w:ascii="Arial" w:eastAsia="Times New Roman" w:hAnsi="Arial" w:cs="Arial"/>
                <w:sz w:val="18"/>
                <w:szCs w:val="18"/>
                <w:lang w:eastAsia="es-AR"/>
              </w:rPr>
              <w:t> 3.</w:t>
            </w:r>
          </w:p>
        </w:tc>
        <w:tc>
          <w:tcPr>
            <w:tcW w:w="0" w:type="auto"/>
            <w:hideMark/>
          </w:tcPr>
          <w:p w:rsidR="00082154" w:rsidRPr="006920AC" w:rsidRDefault="00082154" w:rsidP="00050A30">
            <w:pPr>
              <w:spacing w:after="0" w:line="240" w:lineRule="auto"/>
              <w:rPr>
                <w:rFonts w:ascii="Arial" w:eastAsia="Times New Roman" w:hAnsi="Arial" w:cs="Arial"/>
                <w:sz w:val="18"/>
                <w:szCs w:val="18"/>
                <w:lang w:eastAsia="es-AR"/>
              </w:rPr>
            </w:pPr>
            <w:r w:rsidRPr="00BC0303">
              <w:rPr>
                <w:rFonts w:ascii="Arial" w:eastAsia="Times New Roman" w:hAnsi="Arial" w:cs="Arial"/>
                <w:sz w:val="18"/>
                <w:szCs w:val="18"/>
                <w:lang w:val="en-US" w:eastAsia="es-AR"/>
              </w:rPr>
              <w:t>Swaanenburg JC, Loef BG, Volmer M, et al. Creatine kinase MB, troponin I, and troponin T release patterns after coronary artery bypass grafting with or without cardiopulmonary bypass and after aortic and mitral valve surgery. Clin Chem. 2001</w:t>
            </w:r>
            <w:proofErr w:type="gramStart"/>
            <w:r w:rsidRPr="00BC0303">
              <w:rPr>
                <w:rFonts w:ascii="Arial" w:eastAsia="Times New Roman" w:hAnsi="Arial" w:cs="Arial"/>
                <w:sz w:val="18"/>
                <w:szCs w:val="18"/>
                <w:lang w:val="en-US" w:eastAsia="es-AR"/>
              </w:rPr>
              <w:t>;47:584</w:t>
            </w:r>
            <w:proofErr w:type="gramEnd"/>
            <w:r w:rsidRPr="00BC0303">
              <w:rPr>
                <w:rFonts w:ascii="Arial" w:eastAsia="Times New Roman" w:hAnsi="Arial" w:cs="Arial"/>
                <w:sz w:val="18"/>
                <w:szCs w:val="18"/>
                <w:lang w:val="en-US" w:eastAsia="es-AR"/>
              </w:rPr>
              <w:t xml:space="preserve">-587. </w:t>
            </w:r>
            <w:r w:rsidRPr="006920AC">
              <w:rPr>
                <w:rFonts w:ascii="Arial" w:eastAsia="Times New Roman" w:hAnsi="Arial" w:cs="Arial"/>
                <w:sz w:val="18"/>
                <w:szCs w:val="18"/>
                <w:lang w:eastAsia="es-AR"/>
              </w:rPr>
              <w:t>Disponible en</w:t>
            </w:r>
            <w:r>
              <w:rPr>
                <w:rFonts w:ascii="Arial" w:eastAsia="Times New Roman" w:hAnsi="Arial" w:cs="Arial"/>
                <w:sz w:val="18"/>
                <w:szCs w:val="18"/>
                <w:lang w:eastAsia="es-AR"/>
              </w:rPr>
              <w:t>:</w:t>
            </w:r>
            <w:r w:rsidRPr="006920AC">
              <w:rPr>
                <w:rFonts w:ascii="Arial" w:eastAsia="Times New Roman" w:hAnsi="Arial" w:cs="Arial"/>
                <w:sz w:val="18"/>
                <w:szCs w:val="18"/>
                <w:lang w:eastAsia="es-AR"/>
              </w:rPr>
              <w:t xml:space="preserve"> https://pubmed.ncbi.nlm.nih.gov/11238316/</w:t>
            </w:r>
          </w:p>
        </w:tc>
      </w:tr>
      <w:tr w:rsidR="00082154" w:rsidRPr="006920AC" w:rsidTr="00050A30">
        <w:trPr>
          <w:tblCellSpacing w:w="15" w:type="dxa"/>
        </w:trPr>
        <w:tc>
          <w:tcPr>
            <w:tcW w:w="0" w:type="auto"/>
            <w:hideMark/>
          </w:tcPr>
          <w:p w:rsidR="00082154" w:rsidRPr="006920AC" w:rsidRDefault="00082154" w:rsidP="00050A30">
            <w:pPr>
              <w:spacing w:after="0" w:line="240" w:lineRule="auto"/>
              <w:jc w:val="right"/>
              <w:rPr>
                <w:rFonts w:ascii="Arial" w:eastAsia="Times New Roman" w:hAnsi="Arial" w:cs="Arial"/>
                <w:sz w:val="18"/>
                <w:szCs w:val="18"/>
                <w:lang w:eastAsia="es-AR"/>
              </w:rPr>
            </w:pPr>
            <w:r w:rsidRPr="006920AC">
              <w:rPr>
                <w:rFonts w:ascii="Arial" w:eastAsia="Times New Roman" w:hAnsi="Arial" w:cs="Arial"/>
                <w:sz w:val="18"/>
                <w:szCs w:val="18"/>
                <w:lang w:eastAsia="es-AR"/>
              </w:rPr>
              <w:t> 4.</w:t>
            </w:r>
          </w:p>
        </w:tc>
        <w:tc>
          <w:tcPr>
            <w:tcW w:w="0" w:type="auto"/>
            <w:hideMark/>
          </w:tcPr>
          <w:p w:rsidR="00082154" w:rsidRPr="006920AC" w:rsidRDefault="00082154" w:rsidP="00050A30">
            <w:pPr>
              <w:spacing w:after="0" w:line="240" w:lineRule="auto"/>
              <w:rPr>
                <w:rFonts w:ascii="Arial" w:eastAsia="Times New Roman" w:hAnsi="Arial" w:cs="Arial"/>
                <w:sz w:val="18"/>
                <w:szCs w:val="18"/>
                <w:lang w:eastAsia="es-AR"/>
              </w:rPr>
            </w:pPr>
            <w:r w:rsidRPr="00BC0303">
              <w:rPr>
                <w:rFonts w:ascii="Arial" w:eastAsia="Times New Roman" w:hAnsi="Arial" w:cs="Arial"/>
                <w:sz w:val="18"/>
                <w:szCs w:val="18"/>
                <w:lang w:val="en-US" w:eastAsia="es-AR"/>
              </w:rPr>
              <w:t>Friedman T, Leviner DB, Chan V, et al. High sensitivity troponin-I threshold to predict perioperative myocardial infarction. J Cardiothorac Surg. 2023</w:t>
            </w:r>
            <w:proofErr w:type="gramStart"/>
            <w:r w:rsidRPr="00BC0303">
              <w:rPr>
                <w:rFonts w:ascii="Arial" w:eastAsia="Times New Roman" w:hAnsi="Arial" w:cs="Arial"/>
                <w:sz w:val="18"/>
                <w:szCs w:val="18"/>
                <w:lang w:val="en-US" w:eastAsia="es-AR"/>
              </w:rPr>
              <w:t>;18:234</w:t>
            </w:r>
            <w:proofErr w:type="gramEnd"/>
            <w:r w:rsidRPr="00BC0303">
              <w:rPr>
                <w:rFonts w:ascii="Arial" w:eastAsia="Times New Roman" w:hAnsi="Arial" w:cs="Arial"/>
                <w:sz w:val="18"/>
                <w:szCs w:val="18"/>
                <w:lang w:val="en-US" w:eastAsia="es-AR"/>
              </w:rPr>
              <w:t xml:space="preserve">. </w:t>
            </w:r>
            <w:r w:rsidRPr="006920AC">
              <w:rPr>
                <w:rFonts w:ascii="Arial" w:eastAsia="Times New Roman" w:hAnsi="Arial" w:cs="Arial"/>
                <w:sz w:val="18"/>
                <w:szCs w:val="18"/>
                <w:lang w:eastAsia="es-AR"/>
              </w:rPr>
              <w:t>Disponible en doi:10.1186/s13019-023-02323-0</w:t>
            </w:r>
          </w:p>
        </w:tc>
      </w:tr>
      <w:tr w:rsidR="00082154" w:rsidRPr="006920AC" w:rsidTr="00050A30">
        <w:trPr>
          <w:tblCellSpacing w:w="15" w:type="dxa"/>
        </w:trPr>
        <w:tc>
          <w:tcPr>
            <w:tcW w:w="0" w:type="auto"/>
            <w:hideMark/>
          </w:tcPr>
          <w:p w:rsidR="00082154" w:rsidRPr="006920AC" w:rsidRDefault="00082154" w:rsidP="00050A30">
            <w:pPr>
              <w:spacing w:after="0" w:line="240" w:lineRule="auto"/>
              <w:jc w:val="right"/>
              <w:rPr>
                <w:rFonts w:ascii="Arial" w:eastAsia="Times New Roman" w:hAnsi="Arial" w:cs="Arial"/>
                <w:sz w:val="18"/>
                <w:szCs w:val="18"/>
                <w:lang w:eastAsia="es-AR"/>
              </w:rPr>
            </w:pPr>
            <w:r w:rsidRPr="006920AC">
              <w:rPr>
                <w:rFonts w:ascii="Arial" w:eastAsia="Times New Roman" w:hAnsi="Arial" w:cs="Arial"/>
                <w:sz w:val="18"/>
                <w:szCs w:val="18"/>
                <w:lang w:eastAsia="es-AR"/>
              </w:rPr>
              <w:t> 5.</w:t>
            </w:r>
          </w:p>
        </w:tc>
        <w:tc>
          <w:tcPr>
            <w:tcW w:w="0" w:type="auto"/>
            <w:hideMark/>
          </w:tcPr>
          <w:p w:rsidR="00082154" w:rsidRPr="006920AC" w:rsidRDefault="00082154" w:rsidP="00050A30">
            <w:pPr>
              <w:spacing w:after="0" w:line="240" w:lineRule="auto"/>
              <w:rPr>
                <w:rFonts w:ascii="Arial" w:eastAsia="Times New Roman" w:hAnsi="Arial" w:cs="Arial"/>
                <w:sz w:val="18"/>
                <w:szCs w:val="18"/>
                <w:lang w:eastAsia="es-AR"/>
              </w:rPr>
            </w:pPr>
            <w:r w:rsidRPr="00BC0303">
              <w:rPr>
                <w:rFonts w:ascii="Arial" w:eastAsia="Times New Roman" w:hAnsi="Arial" w:cs="Arial"/>
                <w:sz w:val="18"/>
                <w:szCs w:val="18"/>
                <w:lang w:val="en-US" w:eastAsia="es-AR"/>
              </w:rPr>
              <w:t xml:space="preserve">Thygesen K, Alpert JS, Jaffe AS, y col. </w:t>
            </w:r>
            <w:r w:rsidRPr="006920AC">
              <w:rPr>
                <w:rFonts w:ascii="Arial" w:eastAsia="Times New Roman" w:hAnsi="Arial" w:cs="Arial"/>
                <w:sz w:val="18"/>
                <w:szCs w:val="18"/>
                <w:lang w:eastAsia="es-AR"/>
              </w:rPr>
              <w:t>Consenso ESC 2018 sobre la cuarta definición universal del infarto. Rev Esp Cardiol. 2019</w:t>
            </w:r>
            <w:proofErr w:type="gramStart"/>
            <w:r w:rsidRPr="006920AC">
              <w:rPr>
                <w:rFonts w:ascii="Arial" w:eastAsia="Times New Roman" w:hAnsi="Arial" w:cs="Arial"/>
                <w:sz w:val="18"/>
                <w:szCs w:val="18"/>
                <w:lang w:eastAsia="es-AR"/>
              </w:rPr>
              <w:t>;72:1</w:t>
            </w:r>
            <w:proofErr w:type="gramEnd"/>
            <w:r w:rsidRPr="006920AC">
              <w:rPr>
                <w:rFonts w:ascii="Arial" w:eastAsia="Times New Roman" w:hAnsi="Arial" w:cs="Arial"/>
                <w:sz w:val="18"/>
                <w:szCs w:val="18"/>
                <w:lang w:eastAsia="es-AR"/>
              </w:rPr>
              <w:t>-27.</w:t>
            </w:r>
          </w:p>
        </w:tc>
      </w:tr>
    </w:tbl>
    <w:p w:rsidR="00082154" w:rsidRPr="006920AC" w:rsidRDefault="00082154" w:rsidP="00082154">
      <w:pPr>
        <w:spacing w:after="0" w:line="240" w:lineRule="auto"/>
        <w:rPr>
          <w:rFonts w:ascii="Arial" w:eastAsia="Times New Roman" w:hAnsi="Arial" w:cs="Arial"/>
          <w:b/>
          <w:bCs/>
          <w:color w:val="000000"/>
          <w:sz w:val="18"/>
          <w:szCs w:val="18"/>
          <w:lang w:eastAsia="es-AR"/>
        </w:rPr>
      </w:pPr>
    </w:p>
    <w:p w:rsidR="00082154" w:rsidRDefault="00082154" w:rsidP="00082154"/>
    <w:p w:rsidR="00B14F0E" w:rsidRPr="001F2E0F" w:rsidRDefault="00B14F0E" w:rsidP="00B14F0E">
      <w:pPr>
        <w:spacing w:after="0" w:line="240" w:lineRule="auto"/>
        <w:rPr>
          <w:rFonts w:ascii="Arial" w:eastAsia="Times New Roman" w:hAnsi="Arial" w:cs="Arial"/>
          <w:b/>
          <w:bCs/>
          <w:color w:val="000000"/>
          <w:sz w:val="18"/>
          <w:szCs w:val="18"/>
          <w:lang w:eastAsia="es-AR"/>
        </w:rPr>
      </w:pPr>
    </w:p>
    <w:sectPr w:rsidR="00B14F0E" w:rsidRPr="001F2E0F" w:rsidSect="000053A9">
      <w:headerReference w:type="default" r:id="rId19"/>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9A7" w:rsidRDefault="00FF39A7" w:rsidP="00C9425B">
      <w:pPr>
        <w:spacing w:after="0" w:line="240" w:lineRule="auto"/>
      </w:pPr>
      <w:r>
        <w:separator/>
      </w:r>
    </w:p>
  </w:endnote>
  <w:endnote w:type="continuationSeparator" w:id="0">
    <w:p w:rsidR="00FF39A7" w:rsidRDefault="00FF39A7" w:rsidP="00C94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AE" w:rsidRDefault="00F43CA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2" w:rsidRPr="00DA58FC" w:rsidRDefault="00F43CAE" w:rsidP="00DA58FC">
    <w:pPr>
      <w:pStyle w:val="Piedepgina"/>
      <w:jc w:val="center"/>
      <w:rPr>
        <w:sz w:val="18"/>
        <w:szCs w:val="18"/>
      </w:rPr>
    </w:pPr>
    <w:r>
      <w:rPr>
        <w:sz w:val="18"/>
        <w:szCs w:val="18"/>
      </w:rPr>
      <w:t>Barthe BM</w:t>
    </w:r>
    <w:r w:rsidR="00BC00B5">
      <w:rPr>
        <w:sz w:val="18"/>
        <w:szCs w:val="18"/>
      </w:rPr>
      <w:t xml:space="preserve"> y col</w:t>
    </w:r>
    <w:r w:rsidR="0064613D" w:rsidRPr="0064613D">
      <w:rPr>
        <w:sz w:val="18"/>
        <w:szCs w:val="18"/>
      </w:rPr>
      <w:t>. Anuario (Fund. Dr. J. R. Villavicencio). 202</w:t>
    </w:r>
    <w:r w:rsidR="00D02BE3">
      <w:rPr>
        <w:sz w:val="18"/>
        <w:szCs w:val="18"/>
      </w:rPr>
      <w:t>5</w:t>
    </w:r>
    <w:r w:rsidR="0064613D" w:rsidRPr="0064613D">
      <w:rPr>
        <w:sz w:val="18"/>
        <w:szCs w:val="18"/>
      </w:rPr>
      <w:t>;3</w:t>
    </w:r>
    <w:r w:rsidR="00D02BE3">
      <w:rPr>
        <w:sz w:val="18"/>
        <w:szCs w:val="18"/>
      </w:rPr>
      <w:t>2</w:t>
    </w:r>
    <w:r w:rsidR="0064613D" w:rsidRPr="0064613D">
      <w:rPr>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AE" w:rsidRDefault="00F43CA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9A7" w:rsidRDefault="00FF39A7" w:rsidP="00C9425B">
      <w:pPr>
        <w:spacing w:after="0" w:line="240" w:lineRule="auto"/>
      </w:pPr>
      <w:r>
        <w:separator/>
      </w:r>
    </w:p>
  </w:footnote>
  <w:footnote w:type="continuationSeparator" w:id="0">
    <w:p w:rsidR="00FF39A7" w:rsidRDefault="00FF39A7" w:rsidP="00C942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AE" w:rsidRDefault="00F43CA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2" w:rsidRDefault="00C72404" w:rsidP="00C72404">
    <w:pPr>
      <w:pStyle w:val="Encabezado"/>
      <w:tabs>
        <w:tab w:val="clear" w:pos="8504"/>
        <w:tab w:val="right" w:pos="9923"/>
      </w:tabs>
      <w:ind w:left="-426" w:right="-1136" w:hanging="283"/>
      <w:rPr>
        <w:sz w:val="18"/>
        <w:szCs w:val="18"/>
      </w:rPr>
    </w:pPr>
    <w:r>
      <w:rPr>
        <w:sz w:val="18"/>
        <w:szCs w:val="18"/>
      </w:rPr>
      <w:t xml:space="preserve">                       </w:t>
    </w:r>
    <w:r w:rsidR="007C64E1">
      <w:rPr>
        <w:sz w:val="18"/>
        <w:szCs w:val="18"/>
      </w:rPr>
      <w:t>Artículo original</w:t>
    </w:r>
    <w:r w:rsidR="00EB0380">
      <w:rPr>
        <w:sz w:val="18"/>
        <w:szCs w:val="18"/>
      </w:rPr>
      <w:t xml:space="preserve">                                   </w:t>
    </w:r>
    <w:r w:rsidR="000660C1">
      <w:rPr>
        <w:sz w:val="18"/>
        <w:szCs w:val="18"/>
      </w:rPr>
      <w:t xml:space="preserve">                                         </w:t>
    </w:r>
    <w:r w:rsidR="00EB0380">
      <w:rPr>
        <w:sz w:val="18"/>
        <w:szCs w:val="18"/>
      </w:rPr>
      <w:t xml:space="preserve"> </w:t>
    </w:r>
    <w:r w:rsidR="00E32CF2">
      <w:rPr>
        <w:sz w:val="18"/>
        <w:szCs w:val="18"/>
      </w:rPr>
      <w:t xml:space="preserve"> </w:t>
    </w:r>
    <w:r w:rsidR="001C58D6">
      <w:rPr>
        <w:sz w:val="18"/>
        <w:szCs w:val="18"/>
      </w:rPr>
      <w:t xml:space="preserve">  </w:t>
    </w:r>
    <w:r w:rsidR="00C85A63">
      <w:rPr>
        <w:sz w:val="18"/>
        <w:szCs w:val="18"/>
      </w:rPr>
      <w:t xml:space="preserve">                      </w:t>
    </w:r>
    <w:r w:rsidR="00F035BA" w:rsidRPr="00F035BA">
      <w:rPr>
        <w:sz w:val="18"/>
        <w:szCs w:val="18"/>
      </w:rPr>
      <w:t>Troponina T ultrasensible en cirugía cardiovascular</w:t>
    </w:r>
    <w:r w:rsidR="00F035BA">
      <w:rPr>
        <w:sz w:val="18"/>
        <w:szCs w:val="18"/>
      </w:rPr>
      <w:t xml:space="preserve">         </w:t>
    </w:r>
    <w:r w:rsidR="00E32CF2">
      <w:rPr>
        <w:noProof/>
        <w:lang w:eastAsia="es-AR"/>
      </w:rPr>
      <w:drawing>
        <wp:inline distT="0" distB="0" distL="0" distR="0" wp14:anchorId="38793792" wp14:editId="1D559BE1">
          <wp:extent cx="264568" cy="377150"/>
          <wp:effectExtent l="0" t="0" r="254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568" cy="377150"/>
                  </a:xfrm>
                  <a:prstGeom prst="rect">
                    <a:avLst/>
                  </a:prstGeom>
                  <a:noFill/>
                  <a:ln>
                    <a:noFill/>
                  </a:ln>
                </pic:spPr>
              </pic:pic>
            </a:graphicData>
          </a:graphic>
        </wp:inline>
      </w:drawing>
    </w:r>
  </w:p>
  <w:p w:rsidR="00E32CF2" w:rsidRDefault="00E32CF2">
    <w:pPr>
      <w:pStyle w:val="Encabezado"/>
    </w:pPr>
    <w:r>
      <w:rPr>
        <w:noProof/>
        <w:lang w:eastAsia="es-AR"/>
      </w:rPr>
      <mc:AlternateContent>
        <mc:Choice Requires="wps">
          <w:drawing>
            <wp:anchor distT="0" distB="0" distL="114300" distR="114300" simplePos="0" relativeHeight="251660288" behindDoc="0" locked="0" layoutInCell="1" allowOverlap="1" wp14:anchorId="6C5814D5" wp14:editId="0A242385">
              <wp:simplePos x="0" y="0"/>
              <wp:positionH relativeFrom="column">
                <wp:posOffset>158355</wp:posOffset>
              </wp:positionH>
              <wp:positionV relativeFrom="paragraph">
                <wp:posOffset>130978</wp:posOffset>
              </wp:positionV>
              <wp:extent cx="6191933" cy="10160"/>
              <wp:effectExtent l="0" t="0" r="18415" b="27940"/>
              <wp:wrapNone/>
              <wp:docPr id="3" name="3 Conector recto"/>
              <wp:cNvGraphicFramePr/>
              <a:graphic xmlns:a="http://schemas.openxmlformats.org/drawingml/2006/main">
                <a:graphicData uri="http://schemas.microsoft.com/office/word/2010/wordprocessingShape">
                  <wps:wsp>
                    <wps:cNvCnPr/>
                    <wps:spPr>
                      <a:xfrm>
                        <a:off x="0" y="0"/>
                        <a:ext cx="6191933"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id="3 Conector recto"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5pt,10.3pt" to="500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" strokecolor="black [304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AE" w:rsidRDefault="00F43CAE">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F2" w:rsidRDefault="0064613D" w:rsidP="00C06D89">
    <w:pPr>
      <w:pStyle w:val="Encabezado"/>
      <w:tabs>
        <w:tab w:val="right" w:pos="9923"/>
      </w:tabs>
      <w:ind w:right="-1136"/>
      <w:jc w:val="center"/>
      <w:rPr>
        <w:sz w:val="18"/>
        <w:szCs w:val="18"/>
      </w:rPr>
    </w:pPr>
    <w:r>
      <w:rPr>
        <w:sz w:val="18"/>
        <w:szCs w:val="18"/>
      </w:rPr>
      <w:t xml:space="preserve">                                                   </w:t>
    </w:r>
    <w:r w:rsidR="007C64E1">
      <w:rPr>
        <w:sz w:val="18"/>
        <w:szCs w:val="18"/>
      </w:rPr>
      <w:t xml:space="preserve">                            </w:t>
    </w:r>
    <w:r w:rsidR="00F43CAE">
      <w:rPr>
        <w:sz w:val="18"/>
        <w:szCs w:val="18"/>
      </w:rPr>
      <w:t xml:space="preserve">  </w:t>
    </w:r>
    <w:r w:rsidR="007C64E1">
      <w:rPr>
        <w:sz w:val="18"/>
        <w:szCs w:val="18"/>
      </w:rPr>
      <w:t xml:space="preserve"> </w:t>
    </w:r>
    <w:r>
      <w:rPr>
        <w:sz w:val="18"/>
        <w:szCs w:val="18"/>
      </w:rPr>
      <w:t xml:space="preserve"> </w:t>
    </w:r>
    <w:r w:rsidR="00F43CAE" w:rsidRPr="00F035BA">
      <w:rPr>
        <w:sz w:val="18"/>
        <w:szCs w:val="18"/>
      </w:rPr>
      <w:t>Troponina T ultrasensible en cirugía cardiovascular</w:t>
    </w:r>
    <w:r w:rsidR="00961A17">
      <w:rPr>
        <w:sz w:val="18"/>
        <w:szCs w:val="18"/>
      </w:rPr>
      <w:t xml:space="preserve">        </w:t>
    </w:r>
    <w:r w:rsidR="00E32CF2">
      <w:rPr>
        <w:noProof/>
        <w:lang w:eastAsia="es-AR"/>
      </w:rPr>
      <w:drawing>
        <wp:inline distT="0" distB="0" distL="0" distR="0" wp14:anchorId="3424AB95" wp14:editId="7DD74CD1">
          <wp:extent cx="264568" cy="377150"/>
          <wp:effectExtent l="0" t="0" r="254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568" cy="377150"/>
                  </a:xfrm>
                  <a:prstGeom prst="rect">
                    <a:avLst/>
                  </a:prstGeom>
                  <a:noFill/>
                  <a:ln>
                    <a:noFill/>
                  </a:ln>
                </pic:spPr>
              </pic:pic>
            </a:graphicData>
          </a:graphic>
        </wp:inline>
      </w:drawing>
    </w:r>
  </w:p>
  <w:p w:rsidR="00C06D89" w:rsidRDefault="00C06D89" w:rsidP="00454ADF">
    <w:pPr>
      <w:pStyle w:val="Encabezado"/>
      <w:tabs>
        <w:tab w:val="right" w:pos="9923"/>
      </w:tabs>
      <w:ind w:right="-1136"/>
      <w:rPr>
        <w:noProof/>
        <w:lang w:eastAsia="es-AR"/>
      </w:rPr>
    </w:pPr>
    <w:r>
      <w:rPr>
        <w:noProof/>
        <w:sz w:val="18"/>
        <w:szCs w:val="18"/>
        <w:lang w:eastAsia="es-AR"/>
      </w:rPr>
      <mc:AlternateContent>
        <mc:Choice Requires="wps">
          <w:drawing>
            <wp:anchor distT="0" distB="0" distL="114300" distR="114300" simplePos="0" relativeHeight="251659264" behindDoc="0" locked="0" layoutInCell="1" allowOverlap="1" wp14:anchorId="47AAD806" wp14:editId="002E3FD1">
              <wp:simplePos x="0" y="0"/>
              <wp:positionH relativeFrom="column">
                <wp:posOffset>83820</wp:posOffset>
              </wp:positionH>
              <wp:positionV relativeFrom="paragraph">
                <wp:posOffset>55245</wp:posOffset>
              </wp:positionV>
              <wp:extent cx="5783580" cy="0"/>
              <wp:effectExtent l="0" t="0" r="26670" b="19050"/>
              <wp:wrapNone/>
              <wp:docPr id="1" name="1 Conector recto"/>
              <wp:cNvGraphicFramePr/>
              <a:graphic xmlns:a="http://schemas.openxmlformats.org/drawingml/2006/main">
                <a:graphicData uri="http://schemas.microsoft.com/office/word/2010/wordprocessingShape">
                  <wps:wsp>
                    <wps:cNvCnPr/>
                    <wps:spPr>
                      <a:xfrm>
                        <a:off x="0" y="0"/>
                        <a:ext cx="57835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id="1 Conector recto"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6pt,4.35pt" to="462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" strokecolor="#4579b8 [304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77A86"/>
    <w:multiLevelType w:val="hybridMultilevel"/>
    <w:tmpl w:val="884433B6"/>
    <w:lvl w:ilvl="0" w:tplc="7EF036A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424"/>
    <w:rsid w:val="00002C4C"/>
    <w:rsid w:val="00002C68"/>
    <w:rsid w:val="00003F3F"/>
    <w:rsid w:val="00004C62"/>
    <w:rsid w:val="000053A9"/>
    <w:rsid w:val="00011005"/>
    <w:rsid w:val="00013A26"/>
    <w:rsid w:val="0001402F"/>
    <w:rsid w:val="000149A2"/>
    <w:rsid w:val="0001775B"/>
    <w:rsid w:val="00020333"/>
    <w:rsid w:val="00041B67"/>
    <w:rsid w:val="000466EF"/>
    <w:rsid w:val="00051FBE"/>
    <w:rsid w:val="000522C9"/>
    <w:rsid w:val="00052532"/>
    <w:rsid w:val="000621B1"/>
    <w:rsid w:val="00062AA0"/>
    <w:rsid w:val="000630A9"/>
    <w:rsid w:val="00064260"/>
    <w:rsid w:val="000660C1"/>
    <w:rsid w:val="00081544"/>
    <w:rsid w:val="00082154"/>
    <w:rsid w:val="0009075C"/>
    <w:rsid w:val="0009578C"/>
    <w:rsid w:val="00096DEC"/>
    <w:rsid w:val="000A3224"/>
    <w:rsid w:val="000A40CC"/>
    <w:rsid w:val="000A73C7"/>
    <w:rsid w:val="000B54C9"/>
    <w:rsid w:val="000C411C"/>
    <w:rsid w:val="000D141E"/>
    <w:rsid w:val="000D1F19"/>
    <w:rsid w:val="000D4424"/>
    <w:rsid w:val="000D4C11"/>
    <w:rsid w:val="000D67DC"/>
    <w:rsid w:val="000E1ABE"/>
    <w:rsid w:val="000E50D6"/>
    <w:rsid w:val="000F33E4"/>
    <w:rsid w:val="000F4123"/>
    <w:rsid w:val="000F5070"/>
    <w:rsid w:val="00100374"/>
    <w:rsid w:val="00100E5D"/>
    <w:rsid w:val="001069B0"/>
    <w:rsid w:val="0011171C"/>
    <w:rsid w:val="00113626"/>
    <w:rsid w:val="00117161"/>
    <w:rsid w:val="001207A9"/>
    <w:rsid w:val="0012410F"/>
    <w:rsid w:val="001261FD"/>
    <w:rsid w:val="001265AE"/>
    <w:rsid w:val="00132E9B"/>
    <w:rsid w:val="00135C28"/>
    <w:rsid w:val="00146767"/>
    <w:rsid w:val="00163348"/>
    <w:rsid w:val="00163F0A"/>
    <w:rsid w:val="00164FAE"/>
    <w:rsid w:val="001749E8"/>
    <w:rsid w:val="00174EF5"/>
    <w:rsid w:val="001864EC"/>
    <w:rsid w:val="001904D7"/>
    <w:rsid w:val="00191775"/>
    <w:rsid w:val="001927EC"/>
    <w:rsid w:val="001930C4"/>
    <w:rsid w:val="001959B0"/>
    <w:rsid w:val="001962AB"/>
    <w:rsid w:val="001A0A94"/>
    <w:rsid w:val="001A2367"/>
    <w:rsid w:val="001B2188"/>
    <w:rsid w:val="001B3373"/>
    <w:rsid w:val="001B6F27"/>
    <w:rsid w:val="001C58D6"/>
    <w:rsid w:val="001C772D"/>
    <w:rsid w:val="001D369C"/>
    <w:rsid w:val="001E2424"/>
    <w:rsid w:val="001E2FB5"/>
    <w:rsid w:val="001E4C92"/>
    <w:rsid w:val="001E7E5D"/>
    <w:rsid w:val="001F07F7"/>
    <w:rsid w:val="001F4F0F"/>
    <w:rsid w:val="001F4F12"/>
    <w:rsid w:val="001F5236"/>
    <w:rsid w:val="001F73AB"/>
    <w:rsid w:val="0020459C"/>
    <w:rsid w:val="00207AD7"/>
    <w:rsid w:val="002122CD"/>
    <w:rsid w:val="00212B16"/>
    <w:rsid w:val="00215CB9"/>
    <w:rsid w:val="00216DDD"/>
    <w:rsid w:val="00220467"/>
    <w:rsid w:val="00240CB5"/>
    <w:rsid w:val="00256FCA"/>
    <w:rsid w:val="00261925"/>
    <w:rsid w:val="002620C8"/>
    <w:rsid w:val="0026516E"/>
    <w:rsid w:val="002661B4"/>
    <w:rsid w:val="002675B0"/>
    <w:rsid w:val="00267DD4"/>
    <w:rsid w:val="0027705D"/>
    <w:rsid w:val="002A122F"/>
    <w:rsid w:val="002A14EF"/>
    <w:rsid w:val="002A43C4"/>
    <w:rsid w:val="002B00C9"/>
    <w:rsid w:val="002B79E8"/>
    <w:rsid w:val="002C5FAA"/>
    <w:rsid w:val="002D3C14"/>
    <w:rsid w:val="002D584F"/>
    <w:rsid w:val="002E14E3"/>
    <w:rsid w:val="002F4A87"/>
    <w:rsid w:val="002F5D25"/>
    <w:rsid w:val="00304874"/>
    <w:rsid w:val="00306945"/>
    <w:rsid w:val="00307454"/>
    <w:rsid w:val="00307D0E"/>
    <w:rsid w:val="00311311"/>
    <w:rsid w:val="00313E11"/>
    <w:rsid w:val="0031614D"/>
    <w:rsid w:val="00320DC9"/>
    <w:rsid w:val="00326E50"/>
    <w:rsid w:val="00331527"/>
    <w:rsid w:val="003328C9"/>
    <w:rsid w:val="003400B5"/>
    <w:rsid w:val="0034587D"/>
    <w:rsid w:val="00347CF8"/>
    <w:rsid w:val="00350145"/>
    <w:rsid w:val="003507D3"/>
    <w:rsid w:val="00350E8E"/>
    <w:rsid w:val="00353616"/>
    <w:rsid w:val="003567B0"/>
    <w:rsid w:val="00366B49"/>
    <w:rsid w:val="00372098"/>
    <w:rsid w:val="00375C6F"/>
    <w:rsid w:val="00380142"/>
    <w:rsid w:val="00382A22"/>
    <w:rsid w:val="003837E4"/>
    <w:rsid w:val="00386E41"/>
    <w:rsid w:val="00395FAE"/>
    <w:rsid w:val="003A2710"/>
    <w:rsid w:val="003A3DE5"/>
    <w:rsid w:val="003B0097"/>
    <w:rsid w:val="003B0655"/>
    <w:rsid w:val="003B59C3"/>
    <w:rsid w:val="003B5ADA"/>
    <w:rsid w:val="003C2034"/>
    <w:rsid w:val="003C233A"/>
    <w:rsid w:val="003D08B9"/>
    <w:rsid w:val="003D47FF"/>
    <w:rsid w:val="003E5632"/>
    <w:rsid w:val="003E655A"/>
    <w:rsid w:val="003F5BB6"/>
    <w:rsid w:val="00404588"/>
    <w:rsid w:val="004078C1"/>
    <w:rsid w:val="00422759"/>
    <w:rsid w:val="00424B93"/>
    <w:rsid w:val="004250F3"/>
    <w:rsid w:val="004310CA"/>
    <w:rsid w:val="00431DD7"/>
    <w:rsid w:val="00433587"/>
    <w:rsid w:val="0043427E"/>
    <w:rsid w:val="00434C77"/>
    <w:rsid w:val="00435982"/>
    <w:rsid w:val="004375AE"/>
    <w:rsid w:val="00437CF6"/>
    <w:rsid w:val="00442607"/>
    <w:rsid w:val="00443DE1"/>
    <w:rsid w:val="00451417"/>
    <w:rsid w:val="00451EED"/>
    <w:rsid w:val="00454ADF"/>
    <w:rsid w:val="00456769"/>
    <w:rsid w:val="004624FA"/>
    <w:rsid w:val="00481B56"/>
    <w:rsid w:val="00481D02"/>
    <w:rsid w:val="00485995"/>
    <w:rsid w:val="00485BBF"/>
    <w:rsid w:val="00486FB0"/>
    <w:rsid w:val="00491BBC"/>
    <w:rsid w:val="004957E0"/>
    <w:rsid w:val="00496808"/>
    <w:rsid w:val="004A12E7"/>
    <w:rsid w:val="004A1A1F"/>
    <w:rsid w:val="004B1150"/>
    <w:rsid w:val="004B29F1"/>
    <w:rsid w:val="004B31FA"/>
    <w:rsid w:val="004C3881"/>
    <w:rsid w:val="004C6723"/>
    <w:rsid w:val="004D1E6D"/>
    <w:rsid w:val="004D5A3D"/>
    <w:rsid w:val="004E29AC"/>
    <w:rsid w:val="004E4E81"/>
    <w:rsid w:val="004F077A"/>
    <w:rsid w:val="004F1070"/>
    <w:rsid w:val="004F3216"/>
    <w:rsid w:val="00501D0E"/>
    <w:rsid w:val="00505FD1"/>
    <w:rsid w:val="00506F9B"/>
    <w:rsid w:val="0051201A"/>
    <w:rsid w:val="0051782B"/>
    <w:rsid w:val="005249CF"/>
    <w:rsid w:val="00527887"/>
    <w:rsid w:val="0053189D"/>
    <w:rsid w:val="00533AEA"/>
    <w:rsid w:val="0053533E"/>
    <w:rsid w:val="00542259"/>
    <w:rsid w:val="00564639"/>
    <w:rsid w:val="0057143C"/>
    <w:rsid w:val="00572356"/>
    <w:rsid w:val="005803D1"/>
    <w:rsid w:val="00580D10"/>
    <w:rsid w:val="005908D1"/>
    <w:rsid w:val="005925B4"/>
    <w:rsid w:val="00593EEE"/>
    <w:rsid w:val="005957CE"/>
    <w:rsid w:val="005B6BFA"/>
    <w:rsid w:val="005B71A9"/>
    <w:rsid w:val="005C1FAE"/>
    <w:rsid w:val="005D0265"/>
    <w:rsid w:val="005D21CB"/>
    <w:rsid w:val="005D3C2A"/>
    <w:rsid w:val="005D57A5"/>
    <w:rsid w:val="005D7ACD"/>
    <w:rsid w:val="005E1A20"/>
    <w:rsid w:val="005E6EAE"/>
    <w:rsid w:val="005F0D7F"/>
    <w:rsid w:val="0060067A"/>
    <w:rsid w:val="006011E8"/>
    <w:rsid w:val="00603142"/>
    <w:rsid w:val="0060398C"/>
    <w:rsid w:val="00606DF3"/>
    <w:rsid w:val="006141C9"/>
    <w:rsid w:val="006319CA"/>
    <w:rsid w:val="0064613D"/>
    <w:rsid w:val="00646CC8"/>
    <w:rsid w:val="00647915"/>
    <w:rsid w:val="00650F0F"/>
    <w:rsid w:val="00651FD4"/>
    <w:rsid w:val="006527E4"/>
    <w:rsid w:val="006628DE"/>
    <w:rsid w:val="00663136"/>
    <w:rsid w:val="0066338A"/>
    <w:rsid w:val="00663AD7"/>
    <w:rsid w:val="00665DAA"/>
    <w:rsid w:val="00667489"/>
    <w:rsid w:val="00675775"/>
    <w:rsid w:val="00676B90"/>
    <w:rsid w:val="00686C1A"/>
    <w:rsid w:val="00691AF3"/>
    <w:rsid w:val="006A44EC"/>
    <w:rsid w:val="006C2212"/>
    <w:rsid w:val="006C2C8C"/>
    <w:rsid w:val="006C78A2"/>
    <w:rsid w:val="006D5ED2"/>
    <w:rsid w:val="006E2796"/>
    <w:rsid w:val="006E5F43"/>
    <w:rsid w:val="006E7719"/>
    <w:rsid w:val="006F3076"/>
    <w:rsid w:val="006F35CB"/>
    <w:rsid w:val="006F4AAC"/>
    <w:rsid w:val="007035F2"/>
    <w:rsid w:val="0070765B"/>
    <w:rsid w:val="0071025A"/>
    <w:rsid w:val="00714334"/>
    <w:rsid w:val="00716C52"/>
    <w:rsid w:val="0073712E"/>
    <w:rsid w:val="00744858"/>
    <w:rsid w:val="00764C5D"/>
    <w:rsid w:val="007672A1"/>
    <w:rsid w:val="00772E49"/>
    <w:rsid w:val="00773C15"/>
    <w:rsid w:val="00780067"/>
    <w:rsid w:val="007858EB"/>
    <w:rsid w:val="00786589"/>
    <w:rsid w:val="007932C3"/>
    <w:rsid w:val="00796502"/>
    <w:rsid w:val="007A54F3"/>
    <w:rsid w:val="007A6134"/>
    <w:rsid w:val="007A680B"/>
    <w:rsid w:val="007C0EEB"/>
    <w:rsid w:val="007C64E1"/>
    <w:rsid w:val="007C70E9"/>
    <w:rsid w:val="007D2C8F"/>
    <w:rsid w:val="007D62A8"/>
    <w:rsid w:val="007E33C4"/>
    <w:rsid w:val="007F2F6D"/>
    <w:rsid w:val="007F7B2F"/>
    <w:rsid w:val="00806655"/>
    <w:rsid w:val="0082008E"/>
    <w:rsid w:val="00833CF8"/>
    <w:rsid w:val="0085499C"/>
    <w:rsid w:val="0085696D"/>
    <w:rsid w:val="00860F96"/>
    <w:rsid w:val="00862E9E"/>
    <w:rsid w:val="0087256E"/>
    <w:rsid w:val="00880FED"/>
    <w:rsid w:val="00883453"/>
    <w:rsid w:val="008834AE"/>
    <w:rsid w:val="00883A83"/>
    <w:rsid w:val="00884F32"/>
    <w:rsid w:val="00891ACD"/>
    <w:rsid w:val="00891DC2"/>
    <w:rsid w:val="008942ED"/>
    <w:rsid w:val="008B6448"/>
    <w:rsid w:val="008B6467"/>
    <w:rsid w:val="008C4DDE"/>
    <w:rsid w:val="008C7C65"/>
    <w:rsid w:val="008D5D53"/>
    <w:rsid w:val="008E2BF9"/>
    <w:rsid w:val="008E683C"/>
    <w:rsid w:val="008E6C27"/>
    <w:rsid w:val="008F5F85"/>
    <w:rsid w:val="008F6C12"/>
    <w:rsid w:val="00900705"/>
    <w:rsid w:val="0090438D"/>
    <w:rsid w:val="009044F9"/>
    <w:rsid w:val="0090524C"/>
    <w:rsid w:val="00907331"/>
    <w:rsid w:val="009125F3"/>
    <w:rsid w:val="009150F2"/>
    <w:rsid w:val="00916B5B"/>
    <w:rsid w:val="0092088F"/>
    <w:rsid w:val="00921E51"/>
    <w:rsid w:val="00921E56"/>
    <w:rsid w:val="00922E14"/>
    <w:rsid w:val="00923A68"/>
    <w:rsid w:val="0092402C"/>
    <w:rsid w:val="0093234B"/>
    <w:rsid w:val="0095136D"/>
    <w:rsid w:val="009513DD"/>
    <w:rsid w:val="0095286A"/>
    <w:rsid w:val="00954130"/>
    <w:rsid w:val="009547A5"/>
    <w:rsid w:val="009608AA"/>
    <w:rsid w:val="00961A17"/>
    <w:rsid w:val="00962716"/>
    <w:rsid w:val="009627DF"/>
    <w:rsid w:val="00975981"/>
    <w:rsid w:val="00975BED"/>
    <w:rsid w:val="00990DD3"/>
    <w:rsid w:val="009A2719"/>
    <w:rsid w:val="009A60F5"/>
    <w:rsid w:val="009A7738"/>
    <w:rsid w:val="009B2E4C"/>
    <w:rsid w:val="009C0DC1"/>
    <w:rsid w:val="009C73B0"/>
    <w:rsid w:val="009D1C02"/>
    <w:rsid w:val="009D29A8"/>
    <w:rsid w:val="009D2A00"/>
    <w:rsid w:val="009E5390"/>
    <w:rsid w:val="00A03786"/>
    <w:rsid w:val="00A03920"/>
    <w:rsid w:val="00A03A48"/>
    <w:rsid w:val="00A11ED3"/>
    <w:rsid w:val="00A175CC"/>
    <w:rsid w:val="00A2468D"/>
    <w:rsid w:val="00A25AA1"/>
    <w:rsid w:val="00A3306C"/>
    <w:rsid w:val="00A40A71"/>
    <w:rsid w:val="00A43C78"/>
    <w:rsid w:val="00A476B1"/>
    <w:rsid w:val="00A47FEA"/>
    <w:rsid w:val="00A61DEC"/>
    <w:rsid w:val="00A65491"/>
    <w:rsid w:val="00A65C00"/>
    <w:rsid w:val="00A746A9"/>
    <w:rsid w:val="00A85600"/>
    <w:rsid w:val="00A90B72"/>
    <w:rsid w:val="00A91709"/>
    <w:rsid w:val="00A92BB1"/>
    <w:rsid w:val="00A94361"/>
    <w:rsid w:val="00AA4A40"/>
    <w:rsid w:val="00AA7C45"/>
    <w:rsid w:val="00AB27E2"/>
    <w:rsid w:val="00AB29E3"/>
    <w:rsid w:val="00AC7436"/>
    <w:rsid w:val="00AD1A54"/>
    <w:rsid w:val="00AD72E7"/>
    <w:rsid w:val="00AE1C89"/>
    <w:rsid w:val="00AE2378"/>
    <w:rsid w:val="00AE3219"/>
    <w:rsid w:val="00AE60A2"/>
    <w:rsid w:val="00AF750A"/>
    <w:rsid w:val="00B14D2E"/>
    <w:rsid w:val="00B14F0E"/>
    <w:rsid w:val="00B21E87"/>
    <w:rsid w:val="00B25696"/>
    <w:rsid w:val="00B2682A"/>
    <w:rsid w:val="00B2712E"/>
    <w:rsid w:val="00B27E70"/>
    <w:rsid w:val="00B31432"/>
    <w:rsid w:val="00B41F10"/>
    <w:rsid w:val="00B420C7"/>
    <w:rsid w:val="00B50113"/>
    <w:rsid w:val="00B51674"/>
    <w:rsid w:val="00B5715A"/>
    <w:rsid w:val="00B62B8B"/>
    <w:rsid w:val="00B66C50"/>
    <w:rsid w:val="00B67113"/>
    <w:rsid w:val="00B71118"/>
    <w:rsid w:val="00B84C26"/>
    <w:rsid w:val="00B87BDE"/>
    <w:rsid w:val="00B95493"/>
    <w:rsid w:val="00BA40CF"/>
    <w:rsid w:val="00BC00B5"/>
    <w:rsid w:val="00BC0303"/>
    <w:rsid w:val="00BC2A10"/>
    <w:rsid w:val="00BC7831"/>
    <w:rsid w:val="00BD00E8"/>
    <w:rsid w:val="00BD050F"/>
    <w:rsid w:val="00BE33F8"/>
    <w:rsid w:val="00BE42AC"/>
    <w:rsid w:val="00BF1DD5"/>
    <w:rsid w:val="00BF5565"/>
    <w:rsid w:val="00C02B48"/>
    <w:rsid w:val="00C03FF9"/>
    <w:rsid w:val="00C05A6D"/>
    <w:rsid w:val="00C060C0"/>
    <w:rsid w:val="00C06D89"/>
    <w:rsid w:val="00C11D8B"/>
    <w:rsid w:val="00C12D8D"/>
    <w:rsid w:val="00C15104"/>
    <w:rsid w:val="00C1666C"/>
    <w:rsid w:val="00C172B7"/>
    <w:rsid w:val="00C220B3"/>
    <w:rsid w:val="00C22708"/>
    <w:rsid w:val="00C376A6"/>
    <w:rsid w:val="00C4694F"/>
    <w:rsid w:val="00C537DE"/>
    <w:rsid w:val="00C61D20"/>
    <w:rsid w:val="00C72404"/>
    <w:rsid w:val="00C72DE9"/>
    <w:rsid w:val="00C75478"/>
    <w:rsid w:val="00C76731"/>
    <w:rsid w:val="00C8244F"/>
    <w:rsid w:val="00C82F9A"/>
    <w:rsid w:val="00C85A63"/>
    <w:rsid w:val="00C91462"/>
    <w:rsid w:val="00C9425B"/>
    <w:rsid w:val="00C9440E"/>
    <w:rsid w:val="00C96A65"/>
    <w:rsid w:val="00CA34A3"/>
    <w:rsid w:val="00CC198C"/>
    <w:rsid w:val="00CD1B22"/>
    <w:rsid w:val="00CD1CFA"/>
    <w:rsid w:val="00CD5555"/>
    <w:rsid w:val="00CF54CD"/>
    <w:rsid w:val="00D02BE3"/>
    <w:rsid w:val="00D04284"/>
    <w:rsid w:val="00D05C8E"/>
    <w:rsid w:val="00D06A5C"/>
    <w:rsid w:val="00D06E6F"/>
    <w:rsid w:val="00D1083A"/>
    <w:rsid w:val="00D10BC2"/>
    <w:rsid w:val="00D13684"/>
    <w:rsid w:val="00D22928"/>
    <w:rsid w:val="00D26AC7"/>
    <w:rsid w:val="00D351F0"/>
    <w:rsid w:val="00D5296D"/>
    <w:rsid w:val="00D54D92"/>
    <w:rsid w:val="00D55686"/>
    <w:rsid w:val="00D60894"/>
    <w:rsid w:val="00D66851"/>
    <w:rsid w:val="00D669B0"/>
    <w:rsid w:val="00D74797"/>
    <w:rsid w:val="00D75D5B"/>
    <w:rsid w:val="00DA58FC"/>
    <w:rsid w:val="00DB4E7A"/>
    <w:rsid w:val="00DB4EC9"/>
    <w:rsid w:val="00DC0853"/>
    <w:rsid w:val="00DC75E5"/>
    <w:rsid w:val="00E0137F"/>
    <w:rsid w:val="00E01539"/>
    <w:rsid w:val="00E0383E"/>
    <w:rsid w:val="00E229A9"/>
    <w:rsid w:val="00E320C1"/>
    <w:rsid w:val="00E32CF2"/>
    <w:rsid w:val="00E5322F"/>
    <w:rsid w:val="00E5383A"/>
    <w:rsid w:val="00E61B37"/>
    <w:rsid w:val="00E64069"/>
    <w:rsid w:val="00E713FA"/>
    <w:rsid w:val="00E7739C"/>
    <w:rsid w:val="00E80393"/>
    <w:rsid w:val="00E943DD"/>
    <w:rsid w:val="00E967C5"/>
    <w:rsid w:val="00EA2441"/>
    <w:rsid w:val="00EA36A2"/>
    <w:rsid w:val="00EB0380"/>
    <w:rsid w:val="00EB223C"/>
    <w:rsid w:val="00EB46BC"/>
    <w:rsid w:val="00EB4B7A"/>
    <w:rsid w:val="00EC459C"/>
    <w:rsid w:val="00EC53A4"/>
    <w:rsid w:val="00ED5A4A"/>
    <w:rsid w:val="00ED5EA0"/>
    <w:rsid w:val="00ED7872"/>
    <w:rsid w:val="00EE0C2C"/>
    <w:rsid w:val="00EE2F0B"/>
    <w:rsid w:val="00EF0213"/>
    <w:rsid w:val="00EF6177"/>
    <w:rsid w:val="00F01053"/>
    <w:rsid w:val="00F010C0"/>
    <w:rsid w:val="00F035BA"/>
    <w:rsid w:val="00F06CD7"/>
    <w:rsid w:val="00F212F7"/>
    <w:rsid w:val="00F31DBF"/>
    <w:rsid w:val="00F41EFC"/>
    <w:rsid w:val="00F434C8"/>
    <w:rsid w:val="00F43CAE"/>
    <w:rsid w:val="00F521F2"/>
    <w:rsid w:val="00F554BD"/>
    <w:rsid w:val="00F60740"/>
    <w:rsid w:val="00F620C6"/>
    <w:rsid w:val="00F6643E"/>
    <w:rsid w:val="00F70F6A"/>
    <w:rsid w:val="00F83419"/>
    <w:rsid w:val="00F83D95"/>
    <w:rsid w:val="00F85FFA"/>
    <w:rsid w:val="00F907FC"/>
    <w:rsid w:val="00F92903"/>
    <w:rsid w:val="00F953E8"/>
    <w:rsid w:val="00FA491F"/>
    <w:rsid w:val="00FA6F57"/>
    <w:rsid w:val="00FC0E18"/>
    <w:rsid w:val="00FD44BA"/>
    <w:rsid w:val="00FE2F52"/>
    <w:rsid w:val="00FE5AB4"/>
    <w:rsid w:val="00FE6BD3"/>
    <w:rsid w:val="00FF39A7"/>
    <w:rsid w:val="00FF4C1B"/>
    <w:rsid w:val="00FF58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9075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AR"/>
    </w:rPr>
  </w:style>
  <w:style w:type="paragraph" w:styleId="Ttulo2">
    <w:name w:val="heading 2"/>
    <w:basedOn w:val="Normal"/>
    <w:next w:val="Normal"/>
    <w:link w:val="Ttulo2Car"/>
    <w:uiPriority w:val="9"/>
    <w:semiHidden/>
    <w:unhideWhenUsed/>
    <w:qFormat/>
    <w:rsid w:val="00A11E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42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425B"/>
  </w:style>
  <w:style w:type="paragraph" w:styleId="Piedepgina">
    <w:name w:val="footer"/>
    <w:basedOn w:val="Normal"/>
    <w:link w:val="PiedepginaCar"/>
    <w:uiPriority w:val="99"/>
    <w:unhideWhenUsed/>
    <w:rsid w:val="00C942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425B"/>
  </w:style>
  <w:style w:type="paragraph" w:styleId="Textodeglobo">
    <w:name w:val="Balloon Text"/>
    <w:basedOn w:val="Normal"/>
    <w:link w:val="TextodegloboCar"/>
    <w:uiPriority w:val="99"/>
    <w:semiHidden/>
    <w:unhideWhenUsed/>
    <w:rsid w:val="00C942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9425B"/>
    <w:rPr>
      <w:rFonts w:ascii="Tahoma" w:hAnsi="Tahoma" w:cs="Tahoma"/>
      <w:sz w:val="16"/>
      <w:szCs w:val="16"/>
    </w:rPr>
  </w:style>
  <w:style w:type="character" w:styleId="Hipervnculo">
    <w:name w:val="Hyperlink"/>
    <w:basedOn w:val="Fuentedeprrafopredeter"/>
    <w:uiPriority w:val="99"/>
    <w:unhideWhenUsed/>
    <w:rsid w:val="00240CB5"/>
    <w:rPr>
      <w:color w:val="0000FF" w:themeColor="hyperlink"/>
      <w:u w:val="single"/>
    </w:rPr>
  </w:style>
  <w:style w:type="character" w:customStyle="1" w:styleId="Ttulo1Car">
    <w:name w:val="Título 1 Car"/>
    <w:basedOn w:val="Fuentedeprrafopredeter"/>
    <w:link w:val="Ttulo1"/>
    <w:uiPriority w:val="9"/>
    <w:rsid w:val="0009075C"/>
    <w:rPr>
      <w:rFonts w:asciiTheme="majorHAnsi" w:eastAsiaTheme="majorEastAsia" w:hAnsiTheme="majorHAnsi" w:cstheme="majorBidi"/>
      <w:b/>
      <w:bCs/>
      <w:color w:val="365F91" w:themeColor="accent1" w:themeShade="BF"/>
      <w:sz w:val="28"/>
      <w:szCs w:val="28"/>
      <w:lang w:eastAsia="es-AR"/>
    </w:rPr>
  </w:style>
  <w:style w:type="character" w:customStyle="1" w:styleId="Ttulo2Car">
    <w:name w:val="Título 2 Car"/>
    <w:basedOn w:val="Fuentedeprrafopredeter"/>
    <w:link w:val="Ttulo2"/>
    <w:uiPriority w:val="9"/>
    <w:semiHidden/>
    <w:rsid w:val="00A11ED3"/>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0D67DC"/>
    <w:pPr>
      <w:ind w:left="720"/>
      <w:contextualSpacing/>
    </w:pPr>
  </w:style>
  <w:style w:type="character" w:customStyle="1" w:styleId="UnresolvedMention">
    <w:name w:val="Unresolved Mention"/>
    <w:basedOn w:val="Fuentedeprrafopredeter"/>
    <w:uiPriority w:val="99"/>
    <w:semiHidden/>
    <w:unhideWhenUsed/>
    <w:rsid w:val="00F6643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9075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AR"/>
    </w:rPr>
  </w:style>
  <w:style w:type="paragraph" w:styleId="Ttulo2">
    <w:name w:val="heading 2"/>
    <w:basedOn w:val="Normal"/>
    <w:next w:val="Normal"/>
    <w:link w:val="Ttulo2Car"/>
    <w:uiPriority w:val="9"/>
    <w:semiHidden/>
    <w:unhideWhenUsed/>
    <w:qFormat/>
    <w:rsid w:val="00A11E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42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425B"/>
  </w:style>
  <w:style w:type="paragraph" w:styleId="Piedepgina">
    <w:name w:val="footer"/>
    <w:basedOn w:val="Normal"/>
    <w:link w:val="PiedepginaCar"/>
    <w:uiPriority w:val="99"/>
    <w:unhideWhenUsed/>
    <w:rsid w:val="00C942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425B"/>
  </w:style>
  <w:style w:type="paragraph" w:styleId="Textodeglobo">
    <w:name w:val="Balloon Text"/>
    <w:basedOn w:val="Normal"/>
    <w:link w:val="TextodegloboCar"/>
    <w:uiPriority w:val="99"/>
    <w:semiHidden/>
    <w:unhideWhenUsed/>
    <w:rsid w:val="00C942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9425B"/>
    <w:rPr>
      <w:rFonts w:ascii="Tahoma" w:hAnsi="Tahoma" w:cs="Tahoma"/>
      <w:sz w:val="16"/>
      <w:szCs w:val="16"/>
    </w:rPr>
  </w:style>
  <w:style w:type="character" w:styleId="Hipervnculo">
    <w:name w:val="Hyperlink"/>
    <w:basedOn w:val="Fuentedeprrafopredeter"/>
    <w:uiPriority w:val="99"/>
    <w:unhideWhenUsed/>
    <w:rsid w:val="00240CB5"/>
    <w:rPr>
      <w:color w:val="0000FF" w:themeColor="hyperlink"/>
      <w:u w:val="single"/>
    </w:rPr>
  </w:style>
  <w:style w:type="character" w:customStyle="1" w:styleId="Ttulo1Car">
    <w:name w:val="Título 1 Car"/>
    <w:basedOn w:val="Fuentedeprrafopredeter"/>
    <w:link w:val="Ttulo1"/>
    <w:uiPriority w:val="9"/>
    <w:rsid w:val="0009075C"/>
    <w:rPr>
      <w:rFonts w:asciiTheme="majorHAnsi" w:eastAsiaTheme="majorEastAsia" w:hAnsiTheme="majorHAnsi" w:cstheme="majorBidi"/>
      <w:b/>
      <w:bCs/>
      <w:color w:val="365F91" w:themeColor="accent1" w:themeShade="BF"/>
      <w:sz w:val="28"/>
      <w:szCs w:val="28"/>
      <w:lang w:eastAsia="es-AR"/>
    </w:rPr>
  </w:style>
  <w:style w:type="character" w:customStyle="1" w:styleId="Ttulo2Car">
    <w:name w:val="Título 2 Car"/>
    <w:basedOn w:val="Fuentedeprrafopredeter"/>
    <w:link w:val="Ttulo2"/>
    <w:uiPriority w:val="9"/>
    <w:semiHidden/>
    <w:rsid w:val="00A11ED3"/>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0D67DC"/>
    <w:pPr>
      <w:ind w:left="720"/>
      <w:contextualSpacing/>
    </w:pPr>
  </w:style>
  <w:style w:type="character" w:customStyle="1" w:styleId="UnresolvedMention">
    <w:name w:val="Unresolved Mention"/>
    <w:basedOn w:val="Fuentedeprrafopredeter"/>
    <w:uiPriority w:val="99"/>
    <w:semiHidden/>
    <w:unhideWhenUsed/>
    <w:rsid w:val="00F66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67151">
      <w:bodyDiv w:val="1"/>
      <w:marLeft w:val="0"/>
      <w:marRight w:val="0"/>
      <w:marTop w:val="0"/>
      <w:marBottom w:val="0"/>
      <w:divBdr>
        <w:top w:val="none" w:sz="0" w:space="0" w:color="auto"/>
        <w:left w:val="none" w:sz="0" w:space="0" w:color="auto"/>
        <w:bottom w:val="none" w:sz="0" w:space="0" w:color="auto"/>
        <w:right w:val="none" w:sz="0" w:space="0" w:color="auto"/>
      </w:divBdr>
      <w:divsChild>
        <w:div w:id="1662193512">
          <w:marLeft w:val="0"/>
          <w:marRight w:val="0"/>
          <w:marTop w:val="0"/>
          <w:marBottom w:val="0"/>
          <w:divBdr>
            <w:top w:val="none" w:sz="0" w:space="0" w:color="auto"/>
            <w:left w:val="none" w:sz="0" w:space="0" w:color="auto"/>
            <w:bottom w:val="none" w:sz="0" w:space="0" w:color="auto"/>
            <w:right w:val="none" w:sz="0" w:space="0" w:color="auto"/>
          </w:divBdr>
          <w:divsChild>
            <w:div w:id="2078898027">
              <w:marLeft w:val="0"/>
              <w:marRight w:val="0"/>
              <w:marTop w:val="0"/>
              <w:marBottom w:val="0"/>
              <w:divBdr>
                <w:top w:val="none" w:sz="0" w:space="0" w:color="auto"/>
                <w:left w:val="none" w:sz="0" w:space="0" w:color="auto"/>
                <w:bottom w:val="none" w:sz="0" w:space="0" w:color="auto"/>
                <w:right w:val="none" w:sz="0" w:space="0" w:color="auto"/>
              </w:divBdr>
            </w:div>
          </w:divsChild>
        </w:div>
        <w:div w:id="1745100606">
          <w:marLeft w:val="0"/>
          <w:marRight w:val="0"/>
          <w:marTop w:val="0"/>
          <w:marBottom w:val="0"/>
          <w:divBdr>
            <w:top w:val="none" w:sz="0" w:space="0" w:color="auto"/>
            <w:left w:val="none" w:sz="0" w:space="0" w:color="auto"/>
            <w:bottom w:val="none" w:sz="0" w:space="0" w:color="auto"/>
            <w:right w:val="none" w:sz="0" w:space="0" w:color="auto"/>
          </w:divBdr>
          <w:divsChild>
            <w:div w:id="594751497">
              <w:marLeft w:val="0"/>
              <w:marRight w:val="0"/>
              <w:marTop w:val="0"/>
              <w:marBottom w:val="0"/>
              <w:divBdr>
                <w:top w:val="none" w:sz="0" w:space="0" w:color="auto"/>
                <w:left w:val="none" w:sz="0" w:space="0" w:color="auto"/>
                <w:bottom w:val="none" w:sz="0" w:space="0" w:color="auto"/>
                <w:right w:val="none" w:sz="0" w:space="0" w:color="auto"/>
              </w:divBdr>
            </w:div>
          </w:divsChild>
        </w:div>
        <w:div w:id="605691785">
          <w:marLeft w:val="0"/>
          <w:marRight w:val="0"/>
          <w:marTop w:val="0"/>
          <w:marBottom w:val="0"/>
          <w:divBdr>
            <w:top w:val="none" w:sz="0" w:space="0" w:color="auto"/>
            <w:left w:val="none" w:sz="0" w:space="0" w:color="auto"/>
            <w:bottom w:val="none" w:sz="0" w:space="0" w:color="auto"/>
            <w:right w:val="none" w:sz="0" w:space="0" w:color="auto"/>
          </w:divBdr>
        </w:div>
        <w:div w:id="391851088">
          <w:marLeft w:val="0"/>
          <w:marRight w:val="0"/>
          <w:marTop w:val="0"/>
          <w:marBottom w:val="0"/>
          <w:divBdr>
            <w:top w:val="none" w:sz="0" w:space="0" w:color="auto"/>
            <w:left w:val="none" w:sz="0" w:space="0" w:color="auto"/>
            <w:bottom w:val="none" w:sz="0" w:space="0" w:color="auto"/>
            <w:right w:val="none" w:sz="0" w:space="0" w:color="auto"/>
          </w:divBdr>
          <w:divsChild>
            <w:div w:id="1551108768">
              <w:marLeft w:val="0"/>
              <w:marRight w:val="0"/>
              <w:marTop w:val="0"/>
              <w:marBottom w:val="0"/>
              <w:divBdr>
                <w:top w:val="none" w:sz="0" w:space="0" w:color="auto"/>
                <w:left w:val="none" w:sz="0" w:space="0" w:color="auto"/>
                <w:bottom w:val="none" w:sz="0" w:space="0" w:color="auto"/>
                <w:right w:val="none" w:sz="0" w:space="0" w:color="auto"/>
              </w:divBdr>
            </w:div>
          </w:divsChild>
        </w:div>
        <w:div w:id="698629705">
          <w:marLeft w:val="0"/>
          <w:marRight w:val="0"/>
          <w:marTop w:val="0"/>
          <w:marBottom w:val="0"/>
          <w:divBdr>
            <w:top w:val="none" w:sz="0" w:space="0" w:color="auto"/>
            <w:left w:val="none" w:sz="0" w:space="0" w:color="auto"/>
            <w:bottom w:val="none" w:sz="0" w:space="0" w:color="auto"/>
            <w:right w:val="none" w:sz="0" w:space="0" w:color="auto"/>
          </w:divBdr>
          <w:divsChild>
            <w:div w:id="683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5390">
      <w:bodyDiv w:val="1"/>
      <w:marLeft w:val="0"/>
      <w:marRight w:val="0"/>
      <w:marTop w:val="0"/>
      <w:marBottom w:val="0"/>
      <w:divBdr>
        <w:top w:val="none" w:sz="0" w:space="0" w:color="auto"/>
        <w:left w:val="none" w:sz="0" w:space="0" w:color="auto"/>
        <w:bottom w:val="none" w:sz="0" w:space="0" w:color="auto"/>
        <w:right w:val="none" w:sz="0" w:space="0" w:color="auto"/>
      </w:divBdr>
    </w:div>
    <w:div w:id="159276715">
      <w:bodyDiv w:val="1"/>
      <w:marLeft w:val="0"/>
      <w:marRight w:val="0"/>
      <w:marTop w:val="0"/>
      <w:marBottom w:val="0"/>
      <w:divBdr>
        <w:top w:val="none" w:sz="0" w:space="0" w:color="auto"/>
        <w:left w:val="none" w:sz="0" w:space="0" w:color="auto"/>
        <w:bottom w:val="none" w:sz="0" w:space="0" w:color="auto"/>
        <w:right w:val="none" w:sz="0" w:space="0" w:color="auto"/>
      </w:divBdr>
      <w:divsChild>
        <w:div w:id="1437286702">
          <w:marLeft w:val="0"/>
          <w:marRight w:val="0"/>
          <w:marTop w:val="0"/>
          <w:marBottom w:val="0"/>
          <w:divBdr>
            <w:top w:val="none" w:sz="0" w:space="0" w:color="auto"/>
            <w:left w:val="none" w:sz="0" w:space="0" w:color="auto"/>
            <w:bottom w:val="none" w:sz="0" w:space="0" w:color="auto"/>
            <w:right w:val="none" w:sz="0" w:space="0" w:color="auto"/>
          </w:divBdr>
        </w:div>
      </w:divsChild>
    </w:div>
    <w:div w:id="179394668">
      <w:bodyDiv w:val="1"/>
      <w:marLeft w:val="0"/>
      <w:marRight w:val="0"/>
      <w:marTop w:val="0"/>
      <w:marBottom w:val="0"/>
      <w:divBdr>
        <w:top w:val="none" w:sz="0" w:space="0" w:color="auto"/>
        <w:left w:val="none" w:sz="0" w:space="0" w:color="auto"/>
        <w:bottom w:val="none" w:sz="0" w:space="0" w:color="auto"/>
        <w:right w:val="none" w:sz="0" w:space="0" w:color="auto"/>
      </w:divBdr>
    </w:div>
    <w:div w:id="201603457">
      <w:bodyDiv w:val="1"/>
      <w:marLeft w:val="0"/>
      <w:marRight w:val="0"/>
      <w:marTop w:val="0"/>
      <w:marBottom w:val="0"/>
      <w:divBdr>
        <w:top w:val="none" w:sz="0" w:space="0" w:color="auto"/>
        <w:left w:val="none" w:sz="0" w:space="0" w:color="auto"/>
        <w:bottom w:val="none" w:sz="0" w:space="0" w:color="auto"/>
        <w:right w:val="none" w:sz="0" w:space="0" w:color="auto"/>
      </w:divBdr>
    </w:div>
    <w:div w:id="254168016">
      <w:bodyDiv w:val="1"/>
      <w:marLeft w:val="0"/>
      <w:marRight w:val="0"/>
      <w:marTop w:val="0"/>
      <w:marBottom w:val="0"/>
      <w:divBdr>
        <w:top w:val="none" w:sz="0" w:space="0" w:color="auto"/>
        <w:left w:val="none" w:sz="0" w:space="0" w:color="auto"/>
        <w:bottom w:val="none" w:sz="0" w:space="0" w:color="auto"/>
        <w:right w:val="none" w:sz="0" w:space="0" w:color="auto"/>
      </w:divBdr>
    </w:div>
    <w:div w:id="467094112">
      <w:bodyDiv w:val="1"/>
      <w:marLeft w:val="0"/>
      <w:marRight w:val="0"/>
      <w:marTop w:val="0"/>
      <w:marBottom w:val="0"/>
      <w:divBdr>
        <w:top w:val="none" w:sz="0" w:space="0" w:color="auto"/>
        <w:left w:val="none" w:sz="0" w:space="0" w:color="auto"/>
        <w:bottom w:val="none" w:sz="0" w:space="0" w:color="auto"/>
        <w:right w:val="none" w:sz="0" w:space="0" w:color="auto"/>
      </w:divBdr>
      <w:divsChild>
        <w:div w:id="74741682">
          <w:marLeft w:val="0"/>
          <w:marRight w:val="0"/>
          <w:marTop w:val="0"/>
          <w:marBottom w:val="0"/>
          <w:divBdr>
            <w:top w:val="none" w:sz="0" w:space="0" w:color="auto"/>
            <w:left w:val="none" w:sz="0" w:space="0" w:color="auto"/>
            <w:bottom w:val="none" w:sz="0" w:space="0" w:color="auto"/>
            <w:right w:val="none" w:sz="0" w:space="0" w:color="auto"/>
          </w:divBdr>
          <w:divsChild>
            <w:div w:id="1129469157">
              <w:marLeft w:val="0"/>
              <w:marRight w:val="0"/>
              <w:marTop w:val="0"/>
              <w:marBottom w:val="0"/>
              <w:divBdr>
                <w:top w:val="none" w:sz="0" w:space="0" w:color="auto"/>
                <w:left w:val="none" w:sz="0" w:space="0" w:color="auto"/>
                <w:bottom w:val="none" w:sz="0" w:space="0" w:color="auto"/>
                <w:right w:val="none" w:sz="0" w:space="0" w:color="auto"/>
              </w:divBdr>
            </w:div>
          </w:divsChild>
        </w:div>
        <w:div w:id="776868560">
          <w:marLeft w:val="0"/>
          <w:marRight w:val="0"/>
          <w:marTop w:val="0"/>
          <w:marBottom w:val="0"/>
          <w:divBdr>
            <w:top w:val="none" w:sz="0" w:space="0" w:color="auto"/>
            <w:left w:val="none" w:sz="0" w:space="0" w:color="auto"/>
            <w:bottom w:val="none" w:sz="0" w:space="0" w:color="auto"/>
            <w:right w:val="none" w:sz="0" w:space="0" w:color="auto"/>
          </w:divBdr>
          <w:divsChild>
            <w:div w:id="460922346">
              <w:marLeft w:val="0"/>
              <w:marRight w:val="0"/>
              <w:marTop w:val="0"/>
              <w:marBottom w:val="0"/>
              <w:divBdr>
                <w:top w:val="none" w:sz="0" w:space="0" w:color="auto"/>
                <w:left w:val="none" w:sz="0" w:space="0" w:color="auto"/>
                <w:bottom w:val="none" w:sz="0" w:space="0" w:color="auto"/>
                <w:right w:val="none" w:sz="0" w:space="0" w:color="auto"/>
              </w:divBdr>
            </w:div>
          </w:divsChild>
        </w:div>
        <w:div w:id="1033965832">
          <w:marLeft w:val="0"/>
          <w:marRight w:val="0"/>
          <w:marTop w:val="0"/>
          <w:marBottom w:val="0"/>
          <w:divBdr>
            <w:top w:val="none" w:sz="0" w:space="0" w:color="auto"/>
            <w:left w:val="none" w:sz="0" w:space="0" w:color="auto"/>
            <w:bottom w:val="none" w:sz="0" w:space="0" w:color="auto"/>
            <w:right w:val="none" w:sz="0" w:space="0" w:color="auto"/>
          </w:divBdr>
          <w:divsChild>
            <w:div w:id="837498271">
              <w:marLeft w:val="0"/>
              <w:marRight w:val="0"/>
              <w:marTop w:val="0"/>
              <w:marBottom w:val="0"/>
              <w:divBdr>
                <w:top w:val="none" w:sz="0" w:space="0" w:color="auto"/>
                <w:left w:val="none" w:sz="0" w:space="0" w:color="auto"/>
                <w:bottom w:val="none" w:sz="0" w:space="0" w:color="auto"/>
                <w:right w:val="none" w:sz="0" w:space="0" w:color="auto"/>
              </w:divBdr>
            </w:div>
          </w:divsChild>
        </w:div>
        <w:div w:id="177699695">
          <w:marLeft w:val="0"/>
          <w:marRight w:val="0"/>
          <w:marTop w:val="0"/>
          <w:marBottom w:val="0"/>
          <w:divBdr>
            <w:top w:val="none" w:sz="0" w:space="0" w:color="auto"/>
            <w:left w:val="none" w:sz="0" w:space="0" w:color="auto"/>
            <w:bottom w:val="none" w:sz="0" w:space="0" w:color="auto"/>
            <w:right w:val="none" w:sz="0" w:space="0" w:color="auto"/>
          </w:divBdr>
          <w:divsChild>
            <w:div w:id="1670715677">
              <w:marLeft w:val="0"/>
              <w:marRight w:val="0"/>
              <w:marTop w:val="0"/>
              <w:marBottom w:val="0"/>
              <w:divBdr>
                <w:top w:val="none" w:sz="0" w:space="0" w:color="auto"/>
                <w:left w:val="none" w:sz="0" w:space="0" w:color="auto"/>
                <w:bottom w:val="none" w:sz="0" w:space="0" w:color="auto"/>
                <w:right w:val="none" w:sz="0" w:space="0" w:color="auto"/>
              </w:divBdr>
            </w:div>
          </w:divsChild>
        </w:div>
        <w:div w:id="1631980098">
          <w:marLeft w:val="0"/>
          <w:marRight w:val="0"/>
          <w:marTop w:val="0"/>
          <w:marBottom w:val="0"/>
          <w:divBdr>
            <w:top w:val="none" w:sz="0" w:space="0" w:color="auto"/>
            <w:left w:val="none" w:sz="0" w:space="0" w:color="auto"/>
            <w:bottom w:val="none" w:sz="0" w:space="0" w:color="auto"/>
            <w:right w:val="none" w:sz="0" w:space="0" w:color="auto"/>
          </w:divBdr>
          <w:divsChild>
            <w:div w:id="180133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52098">
      <w:bodyDiv w:val="1"/>
      <w:marLeft w:val="0"/>
      <w:marRight w:val="0"/>
      <w:marTop w:val="0"/>
      <w:marBottom w:val="0"/>
      <w:divBdr>
        <w:top w:val="none" w:sz="0" w:space="0" w:color="auto"/>
        <w:left w:val="none" w:sz="0" w:space="0" w:color="auto"/>
        <w:bottom w:val="none" w:sz="0" w:space="0" w:color="auto"/>
        <w:right w:val="none" w:sz="0" w:space="0" w:color="auto"/>
      </w:divBdr>
    </w:div>
    <w:div w:id="579339706">
      <w:bodyDiv w:val="1"/>
      <w:marLeft w:val="0"/>
      <w:marRight w:val="0"/>
      <w:marTop w:val="0"/>
      <w:marBottom w:val="0"/>
      <w:divBdr>
        <w:top w:val="none" w:sz="0" w:space="0" w:color="auto"/>
        <w:left w:val="none" w:sz="0" w:space="0" w:color="auto"/>
        <w:bottom w:val="none" w:sz="0" w:space="0" w:color="auto"/>
        <w:right w:val="none" w:sz="0" w:space="0" w:color="auto"/>
      </w:divBdr>
    </w:div>
    <w:div w:id="600533738">
      <w:bodyDiv w:val="1"/>
      <w:marLeft w:val="0"/>
      <w:marRight w:val="0"/>
      <w:marTop w:val="0"/>
      <w:marBottom w:val="0"/>
      <w:divBdr>
        <w:top w:val="none" w:sz="0" w:space="0" w:color="auto"/>
        <w:left w:val="none" w:sz="0" w:space="0" w:color="auto"/>
        <w:bottom w:val="none" w:sz="0" w:space="0" w:color="auto"/>
        <w:right w:val="none" w:sz="0" w:space="0" w:color="auto"/>
      </w:divBdr>
      <w:divsChild>
        <w:div w:id="402601044">
          <w:marLeft w:val="0"/>
          <w:marRight w:val="0"/>
          <w:marTop w:val="0"/>
          <w:marBottom w:val="0"/>
          <w:divBdr>
            <w:top w:val="none" w:sz="0" w:space="0" w:color="auto"/>
            <w:left w:val="none" w:sz="0" w:space="0" w:color="auto"/>
            <w:bottom w:val="none" w:sz="0" w:space="0" w:color="auto"/>
            <w:right w:val="none" w:sz="0" w:space="0" w:color="auto"/>
          </w:divBdr>
          <w:divsChild>
            <w:div w:id="1404639211">
              <w:marLeft w:val="0"/>
              <w:marRight w:val="0"/>
              <w:marTop w:val="0"/>
              <w:marBottom w:val="0"/>
              <w:divBdr>
                <w:top w:val="none" w:sz="0" w:space="0" w:color="auto"/>
                <w:left w:val="none" w:sz="0" w:space="0" w:color="auto"/>
                <w:bottom w:val="none" w:sz="0" w:space="0" w:color="auto"/>
                <w:right w:val="none" w:sz="0" w:space="0" w:color="auto"/>
              </w:divBdr>
            </w:div>
          </w:divsChild>
        </w:div>
        <w:div w:id="336541919">
          <w:marLeft w:val="0"/>
          <w:marRight w:val="0"/>
          <w:marTop w:val="0"/>
          <w:marBottom w:val="0"/>
          <w:divBdr>
            <w:top w:val="none" w:sz="0" w:space="0" w:color="auto"/>
            <w:left w:val="none" w:sz="0" w:space="0" w:color="auto"/>
            <w:bottom w:val="none" w:sz="0" w:space="0" w:color="auto"/>
            <w:right w:val="none" w:sz="0" w:space="0" w:color="auto"/>
          </w:divBdr>
          <w:divsChild>
            <w:div w:id="508763689">
              <w:marLeft w:val="0"/>
              <w:marRight w:val="0"/>
              <w:marTop w:val="0"/>
              <w:marBottom w:val="0"/>
              <w:divBdr>
                <w:top w:val="none" w:sz="0" w:space="0" w:color="auto"/>
                <w:left w:val="none" w:sz="0" w:space="0" w:color="auto"/>
                <w:bottom w:val="none" w:sz="0" w:space="0" w:color="auto"/>
                <w:right w:val="none" w:sz="0" w:space="0" w:color="auto"/>
              </w:divBdr>
            </w:div>
          </w:divsChild>
        </w:div>
        <w:div w:id="1776485061">
          <w:marLeft w:val="0"/>
          <w:marRight w:val="0"/>
          <w:marTop w:val="0"/>
          <w:marBottom w:val="0"/>
          <w:divBdr>
            <w:top w:val="none" w:sz="0" w:space="0" w:color="auto"/>
            <w:left w:val="none" w:sz="0" w:space="0" w:color="auto"/>
            <w:bottom w:val="none" w:sz="0" w:space="0" w:color="auto"/>
            <w:right w:val="none" w:sz="0" w:space="0" w:color="auto"/>
          </w:divBdr>
          <w:divsChild>
            <w:div w:id="1664241906">
              <w:marLeft w:val="0"/>
              <w:marRight w:val="0"/>
              <w:marTop w:val="0"/>
              <w:marBottom w:val="0"/>
              <w:divBdr>
                <w:top w:val="none" w:sz="0" w:space="0" w:color="auto"/>
                <w:left w:val="none" w:sz="0" w:space="0" w:color="auto"/>
                <w:bottom w:val="none" w:sz="0" w:space="0" w:color="auto"/>
                <w:right w:val="none" w:sz="0" w:space="0" w:color="auto"/>
              </w:divBdr>
            </w:div>
          </w:divsChild>
        </w:div>
        <w:div w:id="1361736160">
          <w:marLeft w:val="0"/>
          <w:marRight w:val="0"/>
          <w:marTop w:val="0"/>
          <w:marBottom w:val="0"/>
          <w:divBdr>
            <w:top w:val="none" w:sz="0" w:space="0" w:color="auto"/>
            <w:left w:val="none" w:sz="0" w:space="0" w:color="auto"/>
            <w:bottom w:val="none" w:sz="0" w:space="0" w:color="auto"/>
            <w:right w:val="none" w:sz="0" w:space="0" w:color="auto"/>
          </w:divBdr>
          <w:divsChild>
            <w:div w:id="1186215201">
              <w:marLeft w:val="0"/>
              <w:marRight w:val="0"/>
              <w:marTop w:val="0"/>
              <w:marBottom w:val="0"/>
              <w:divBdr>
                <w:top w:val="none" w:sz="0" w:space="0" w:color="auto"/>
                <w:left w:val="none" w:sz="0" w:space="0" w:color="auto"/>
                <w:bottom w:val="none" w:sz="0" w:space="0" w:color="auto"/>
                <w:right w:val="none" w:sz="0" w:space="0" w:color="auto"/>
              </w:divBdr>
            </w:div>
          </w:divsChild>
        </w:div>
        <w:div w:id="743600281">
          <w:marLeft w:val="0"/>
          <w:marRight w:val="0"/>
          <w:marTop w:val="0"/>
          <w:marBottom w:val="0"/>
          <w:divBdr>
            <w:top w:val="none" w:sz="0" w:space="0" w:color="auto"/>
            <w:left w:val="none" w:sz="0" w:space="0" w:color="auto"/>
            <w:bottom w:val="none" w:sz="0" w:space="0" w:color="auto"/>
            <w:right w:val="none" w:sz="0" w:space="0" w:color="auto"/>
          </w:divBdr>
          <w:divsChild>
            <w:div w:id="1247425971">
              <w:marLeft w:val="0"/>
              <w:marRight w:val="0"/>
              <w:marTop w:val="0"/>
              <w:marBottom w:val="0"/>
              <w:divBdr>
                <w:top w:val="none" w:sz="0" w:space="0" w:color="auto"/>
                <w:left w:val="none" w:sz="0" w:space="0" w:color="auto"/>
                <w:bottom w:val="none" w:sz="0" w:space="0" w:color="auto"/>
                <w:right w:val="none" w:sz="0" w:space="0" w:color="auto"/>
              </w:divBdr>
            </w:div>
          </w:divsChild>
        </w:div>
        <w:div w:id="1687976175">
          <w:marLeft w:val="0"/>
          <w:marRight w:val="0"/>
          <w:marTop w:val="0"/>
          <w:marBottom w:val="0"/>
          <w:divBdr>
            <w:top w:val="none" w:sz="0" w:space="0" w:color="auto"/>
            <w:left w:val="none" w:sz="0" w:space="0" w:color="auto"/>
            <w:bottom w:val="none" w:sz="0" w:space="0" w:color="auto"/>
            <w:right w:val="none" w:sz="0" w:space="0" w:color="auto"/>
          </w:divBdr>
          <w:divsChild>
            <w:div w:id="116347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65748">
      <w:bodyDiv w:val="1"/>
      <w:marLeft w:val="0"/>
      <w:marRight w:val="0"/>
      <w:marTop w:val="0"/>
      <w:marBottom w:val="0"/>
      <w:divBdr>
        <w:top w:val="none" w:sz="0" w:space="0" w:color="auto"/>
        <w:left w:val="none" w:sz="0" w:space="0" w:color="auto"/>
        <w:bottom w:val="none" w:sz="0" w:space="0" w:color="auto"/>
        <w:right w:val="none" w:sz="0" w:space="0" w:color="auto"/>
      </w:divBdr>
      <w:divsChild>
        <w:div w:id="9570205">
          <w:marLeft w:val="0"/>
          <w:marRight w:val="0"/>
          <w:marTop w:val="0"/>
          <w:marBottom w:val="0"/>
          <w:divBdr>
            <w:top w:val="none" w:sz="0" w:space="0" w:color="auto"/>
            <w:left w:val="none" w:sz="0" w:space="0" w:color="auto"/>
            <w:bottom w:val="none" w:sz="0" w:space="0" w:color="auto"/>
            <w:right w:val="none" w:sz="0" w:space="0" w:color="auto"/>
          </w:divBdr>
          <w:divsChild>
            <w:div w:id="957099528">
              <w:marLeft w:val="0"/>
              <w:marRight w:val="0"/>
              <w:marTop w:val="0"/>
              <w:marBottom w:val="0"/>
              <w:divBdr>
                <w:top w:val="none" w:sz="0" w:space="0" w:color="auto"/>
                <w:left w:val="none" w:sz="0" w:space="0" w:color="auto"/>
                <w:bottom w:val="none" w:sz="0" w:space="0" w:color="auto"/>
                <w:right w:val="none" w:sz="0" w:space="0" w:color="auto"/>
              </w:divBdr>
            </w:div>
          </w:divsChild>
        </w:div>
        <w:div w:id="483594759">
          <w:marLeft w:val="0"/>
          <w:marRight w:val="0"/>
          <w:marTop w:val="0"/>
          <w:marBottom w:val="0"/>
          <w:divBdr>
            <w:top w:val="none" w:sz="0" w:space="0" w:color="auto"/>
            <w:left w:val="none" w:sz="0" w:space="0" w:color="auto"/>
            <w:bottom w:val="none" w:sz="0" w:space="0" w:color="auto"/>
            <w:right w:val="none" w:sz="0" w:space="0" w:color="auto"/>
          </w:divBdr>
          <w:divsChild>
            <w:div w:id="535894288">
              <w:marLeft w:val="0"/>
              <w:marRight w:val="0"/>
              <w:marTop w:val="0"/>
              <w:marBottom w:val="0"/>
              <w:divBdr>
                <w:top w:val="none" w:sz="0" w:space="0" w:color="auto"/>
                <w:left w:val="none" w:sz="0" w:space="0" w:color="auto"/>
                <w:bottom w:val="none" w:sz="0" w:space="0" w:color="auto"/>
                <w:right w:val="none" w:sz="0" w:space="0" w:color="auto"/>
              </w:divBdr>
            </w:div>
          </w:divsChild>
        </w:div>
        <w:div w:id="563375414">
          <w:marLeft w:val="0"/>
          <w:marRight w:val="0"/>
          <w:marTop w:val="0"/>
          <w:marBottom w:val="0"/>
          <w:divBdr>
            <w:top w:val="none" w:sz="0" w:space="0" w:color="auto"/>
            <w:left w:val="none" w:sz="0" w:space="0" w:color="auto"/>
            <w:bottom w:val="none" w:sz="0" w:space="0" w:color="auto"/>
            <w:right w:val="none" w:sz="0" w:space="0" w:color="auto"/>
          </w:divBdr>
        </w:div>
        <w:div w:id="1796291640">
          <w:marLeft w:val="0"/>
          <w:marRight w:val="0"/>
          <w:marTop w:val="0"/>
          <w:marBottom w:val="0"/>
          <w:divBdr>
            <w:top w:val="none" w:sz="0" w:space="0" w:color="auto"/>
            <w:left w:val="none" w:sz="0" w:space="0" w:color="auto"/>
            <w:bottom w:val="none" w:sz="0" w:space="0" w:color="auto"/>
            <w:right w:val="none" w:sz="0" w:space="0" w:color="auto"/>
          </w:divBdr>
          <w:divsChild>
            <w:div w:id="1500344707">
              <w:marLeft w:val="0"/>
              <w:marRight w:val="0"/>
              <w:marTop w:val="0"/>
              <w:marBottom w:val="0"/>
              <w:divBdr>
                <w:top w:val="none" w:sz="0" w:space="0" w:color="auto"/>
                <w:left w:val="none" w:sz="0" w:space="0" w:color="auto"/>
                <w:bottom w:val="none" w:sz="0" w:space="0" w:color="auto"/>
                <w:right w:val="none" w:sz="0" w:space="0" w:color="auto"/>
              </w:divBdr>
            </w:div>
          </w:divsChild>
        </w:div>
        <w:div w:id="951862228">
          <w:marLeft w:val="0"/>
          <w:marRight w:val="0"/>
          <w:marTop w:val="0"/>
          <w:marBottom w:val="0"/>
          <w:divBdr>
            <w:top w:val="none" w:sz="0" w:space="0" w:color="auto"/>
            <w:left w:val="none" w:sz="0" w:space="0" w:color="auto"/>
            <w:bottom w:val="none" w:sz="0" w:space="0" w:color="auto"/>
            <w:right w:val="none" w:sz="0" w:space="0" w:color="auto"/>
          </w:divBdr>
          <w:divsChild>
            <w:div w:id="124387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666595">
      <w:bodyDiv w:val="1"/>
      <w:marLeft w:val="0"/>
      <w:marRight w:val="0"/>
      <w:marTop w:val="0"/>
      <w:marBottom w:val="0"/>
      <w:divBdr>
        <w:top w:val="none" w:sz="0" w:space="0" w:color="auto"/>
        <w:left w:val="none" w:sz="0" w:space="0" w:color="auto"/>
        <w:bottom w:val="none" w:sz="0" w:space="0" w:color="auto"/>
        <w:right w:val="none" w:sz="0" w:space="0" w:color="auto"/>
      </w:divBdr>
      <w:divsChild>
        <w:div w:id="3095397">
          <w:marLeft w:val="0"/>
          <w:marRight w:val="0"/>
          <w:marTop w:val="0"/>
          <w:marBottom w:val="0"/>
          <w:divBdr>
            <w:top w:val="none" w:sz="0" w:space="0" w:color="auto"/>
            <w:left w:val="none" w:sz="0" w:space="0" w:color="auto"/>
            <w:bottom w:val="none" w:sz="0" w:space="0" w:color="auto"/>
            <w:right w:val="none" w:sz="0" w:space="0" w:color="auto"/>
          </w:divBdr>
        </w:div>
      </w:divsChild>
    </w:div>
    <w:div w:id="752556703">
      <w:bodyDiv w:val="1"/>
      <w:marLeft w:val="0"/>
      <w:marRight w:val="0"/>
      <w:marTop w:val="0"/>
      <w:marBottom w:val="0"/>
      <w:divBdr>
        <w:top w:val="none" w:sz="0" w:space="0" w:color="auto"/>
        <w:left w:val="none" w:sz="0" w:space="0" w:color="auto"/>
        <w:bottom w:val="none" w:sz="0" w:space="0" w:color="auto"/>
        <w:right w:val="none" w:sz="0" w:space="0" w:color="auto"/>
      </w:divBdr>
      <w:divsChild>
        <w:div w:id="1387101125">
          <w:marLeft w:val="0"/>
          <w:marRight w:val="0"/>
          <w:marTop w:val="0"/>
          <w:marBottom w:val="0"/>
          <w:divBdr>
            <w:top w:val="none" w:sz="0" w:space="0" w:color="auto"/>
            <w:left w:val="none" w:sz="0" w:space="0" w:color="auto"/>
            <w:bottom w:val="none" w:sz="0" w:space="0" w:color="auto"/>
            <w:right w:val="none" w:sz="0" w:space="0" w:color="auto"/>
          </w:divBdr>
        </w:div>
      </w:divsChild>
    </w:div>
    <w:div w:id="795414071">
      <w:bodyDiv w:val="1"/>
      <w:marLeft w:val="0"/>
      <w:marRight w:val="0"/>
      <w:marTop w:val="0"/>
      <w:marBottom w:val="0"/>
      <w:divBdr>
        <w:top w:val="none" w:sz="0" w:space="0" w:color="auto"/>
        <w:left w:val="none" w:sz="0" w:space="0" w:color="auto"/>
        <w:bottom w:val="none" w:sz="0" w:space="0" w:color="auto"/>
        <w:right w:val="none" w:sz="0" w:space="0" w:color="auto"/>
      </w:divBdr>
      <w:divsChild>
        <w:div w:id="945691514">
          <w:marLeft w:val="0"/>
          <w:marRight w:val="0"/>
          <w:marTop w:val="0"/>
          <w:marBottom w:val="0"/>
          <w:divBdr>
            <w:top w:val="none" w:sz="0" w:space="0" w:color="auto"/>
            <w:left w:val="none" w:sz="0" w:space="0" w:color="auto"/>
            <w:bottom w:val="none" w:sz="0" w:space="0" w:color="auto"/>
            <w:right w:val="none" w:sz="0" w:space="0" w:color="auto"/>
          </w:divBdr>
        </w:div>
      </w:divsChild>
    </w:div>
    <w:div w:id="989754186">
      <w:bodyDiv w:val="1"/>
      <w:marLeft w:val="0"/>
      <w:marRight w:val="0"/>
      <w:marTop w:val="0"/>
      <w:marBottom w:val="0"/>
      <w:divBdr>
        <w:top w:val="none" w:sz="0" w:space="0" w:color="auto"/>
        <w:left w:val="none" w:sz="0" w:space="0" w:color="auto"/>
        <w:bottom w:val="none" w:sz="0" w:space="0" w:color="auto"/>
        <w:right w:val="none" w:sz="0" w:space="0" w:color="auto"/>
      </w:divBdr>
    </w:div>
    <w:div w:id="1014305357">
      <w:bodyDiv w:val="1"/>
      <w:marLeft w:val="0"/>
      <w:marRight w:val="0"/>
      <w:marTop w:val="0"/>
      <w:marBottom w:val="0"/>
      <w:divBdr>
        <w:top w:val="none" w:sz="0" w:space="0" w:color="auto"/>
        <w:left w:val="none" w:sz="0" w:space="0" w:color="auto"/>
        <w:bottom w:val="none" w:sz="0" w:space="0" w:color="auto"/>
        <w:right w:val="none" w:sz="0" w:space="0" w:color="auto"/>
      </w:divBdr>
    </w:div>
    <w:div w:id="1057971578">
      <w:bodyDiv w:val="1"/>
      <w:marLeft w:val="0"/>
      <w:marRight w:val="0"/>
      <w:marTop w:val="0"/>
      <w:marBottom w:val="0"/>
      <w:divBdr>
        <w:top w:val="none" w:sz="0" w:space="0" w:color="auto"/>
        <w:left w:val="none" w:sz="0" w:space="0" w:color="auto"/>
        <w:bottom w:val="none" w:sz="0" w:space="0" w:color="auto"/>
        <w:right w:val="none" w:sz="0" w:space="0" w:color="auto"/>
      </w:divBdr>
    </w:div>
    <w:div w:id="1076129569">
      <w:bodyDiv w:val="1"/>
      <w:marLeft w:val="0"/>
      <w:marRight w:val="0"/>
      <w:marTop w:val="0"/>
      <w:marBottom w:val="0"/>
      <w:divBdr>
        <w:top w:val="none" w:sz="0" w:space="0" w:color="auto"/>
        <w:left w:val="none" w:sz="0" w:space="0" w:color="auto"/>
        <w:bottom w:val="none" w:sz="0" w:space="0" w:color="auto"/>
        <w:right w:val="none" w:sz="0" w:space="0" w:color="auto"/>
      </w:divBdr>
    </w:div>
    <w:div w:id="1240091871">
      <w:bodyDiv w:val="1"/>
      <w:marLeft w:val="0"/>
      <w:marRight w:val="0"/>
      <w:marTop w:val="0"/>
      <w:marBottom w:val="0"/>
      <w:divBdr>
        <w:top w:val="none" w:sz="0" w:space="0" w:color="auto"/>
        <w:left w:val="none" w:sz="0" w:space="0" w:color="auto"/>
        <w:bottom w:val="none" w:sz="0" w:space="0" w:color="auto"/>
        <w:right w:val="none" w:sz="0" w:space="0" w:color="auto"/>
      </w:divBdr>
    </w:div>
    <w:div w:id="1286084013">
      <w:bodyDiv w:val="1"/>
      <w:marLeft w:val="0"/>
      <w:marRight w:val="0"/>
      <w:marTop w:val="0"/>
      <w:marBottom w:val="0"/>
      <w:divBdr>
        <w:top w:val="none" w:sz="0" w:space="0" w:color="auto"/>
        <w:left w:val="none" w:sz="0" w:space="0" w:color="auto"/>
        <w:bottom w:val="none" w:sz="0" w:space="0" w:color="auto"/>
        <w:right w:val="none" w:sz="0" w:space="0" w:color="auto"/>
      </w:divBdr>
    </w:div>
    <w:div w:id="1366516399">
      <w:bodyDiv w:val="1"/>
      <w:marLeft w:val="0"/>
      <w:marRight w:val="0"/>
      <w:marTop w:val="0"/>
      <w:marBottom w:val="0"/>
      <w:divBdr>
        <w:top w:val="none" w:sz="0" w:space="0" w:color="auto"/>
        <w:left w:val="none" w:sz="0" w:space="0" w:color="auto"/>
        <w:bottom w:val="none" w:sz="0" w:space="0" w:color="auto"/>
        <w:right w:val="none" w:sz="0" w:space="0" w:color="auto"/>
      </w:divBdr>
    </w:div>
    <w:div w:id="1408185288">
      <w:bodyDiv w:val="1"/>
      <w:marLeft w:val="0"/>
      <w:marRight w:val="0"/>
      <w:marTop w:val="0"/>
      <w:marBottom w:val="0"/>
      <w:divBdr>
        <w:top w:val="none" w:sz="0" w:space="0" w:color="auto"/>
        <w:left w:val="none" w:sz="0" w:space="0" w:color="auto"/>
        <w:bottom w:val="none" w:sz="0" w:space="0" w:color="auto"/>
        <w:right w:val="none" w:sz="0" w:space="0" w:color="auto"/>
      </w:divBdr>
    </w:div>
    <w:div w:id="1452671947">
      <w:bodyDiv w:val="1"/>
      <w:marLeft w:val="0"/>
      <w:marRight w:val="0"/>
      <w:marTop w:val="0"/>
      <w:marBottom w:val="0"/>
      <w:divBdr>
        <w:top w:val="none" w:sz="0" w:space="0" w:color="auto"/>
        <w:left w:val="none" w:sz="0" w:space="0" w:color="auto"/>
        <w:bottom w:val="none" w:sz="0" w:space="0" w:color="auto"/>
        <w:right w:val="none" w:sz="0" w:space="0" w:color="auto"/>
      </w:divBdr>
    </w:div>
    <w:div w:id="1564873908">
      <w:bodyDiv w:val="1"/>
      <w:marLeft w:val="0"/>
      <w:marRight w:val="0"/>
      <w:marTop w:val="0"/>
      <w:marBottom w:val="0"/>
      <w:divBdr>
        <w:top w:val="none" w:sz="0" w:space="0" w:color="auto"/>
        <w:left w:val="none" w:sz="0" w:space="0" w:color="auto"/>
        <w:bottom w:val="none" w:sz="0" w:space="0" w:color="auto"/>
        <w:right w:val="none" w:sz="0" w:space="0" w:color="auto"/>
      </w:divBdr>
    </w:div>
    <w:div w:id="1625042874">
      <w:bodyDiv w:val="1"/>
      <w:marLeft w:val="0"/>
      <w:marRight w:val="0"/>
      <w:marTop w:val="0"/>
      <w:marBottom w:val="0"/>
      <w:divBdr>
        <w:top w:val="none" w:sz="0" w:space="0" w:color="auto"/>
        <w:left w:val="none" w:sz="0" w:space="0" w:color="auto"/>
        <w:bottom w:val="none" w:sz="0" w:space="0" w:color="auto"/>
        <w:right w:val="none" w:sz="0" w:space="0" w:color="auto"/>
      </w:divBdr>
    </w:div>
    <w:div w:id="1696299136">
      <w:bodyDiv w:val="1"/>
      <w:marLeft w:val="0"/>
      <w:marRight w:val="0"/>
      <w:marTop w:val="0"/>
      <w:marBottom w:val="0"/>
      <w:divBdr>
        <w:top w:val="none" w:sz="0" w:space="0" w:color="auto"/>
        <w:left w:val="none" w:sz="0" w:space="0" w:color="auto"/>
        <w:bottom w:val="none" w:sz="0" w:space="0" w:color="auto"/>
        <w:right w:val="none" w:sz="0" w:space="0" w:color="auto"/>
      </w:divBdr>
    </w:div>
    <w:div w:id="1703632507">
      <w:bodyDiv w:val="1"/>
      <w:marLeft w:val="0"/>
      <w:marRight w:val="0"/>
      <w:marTop w:val="0"/>
      <w:marBottom w:val="0"/>
      <w:divBdr>
        <w:top w:val="none" w:sz="0" w:space="0" w:color="auto"/>
        <w:left w:val="none" w:sz="0" w:space="0" w:color="auto"/>
        <w:bottom w:val="none" w:sz="0" w:space="0" w:color="auto"/>
        <w:right w:val="none" w:sz="0" w:space="0" w:color="auto"/>
      </w:divBdr>
      <w:divsChild>
        <w:div w:id="724523323">
          <w:marLeft w:val="0"/>
          <w:marRight w:val="0"/>
          <w:marTop w:val="0"/>
          <w:marBottom w:val="0"/>
          <w:divBdr>
            <w:top w:val="none" w:sz="0" w:space="0" w:color="auto"/>
            <w:left w:val="none" w:sz="0" w:space="0" w:color="auto"/>
            <w:bottom w:val="none" w:sz="0" w:space="0" w:color="auto"/>
            <w:right w:val="none" w:sz="0" w:space="0" w:color="auto"/>
          </w:divBdr>
        </w:div>
      </w:divsChild>
    </w:div>
    <w:div w:id="1861315083">
      <w:bodyDiv w:val="1"/>
      <w:marLeft w:val="0"/>
      <w:marRight w:val="0"/>
      <w:marTop w:val="0"/>
      <w:marBottom w:val="0"/>
      <w:divBdr>
        <w:top w:val="none" w:sz="0" w:space="0" w:color="auto"/>
        <w:left w:val="none" w:sz="0" w:space="0" w:color="auto"/>
        <w:bottom w:val="none" w:sz="0" w:space="0" w:color="auto"/>
        <w:right w:val="none" w:sz="0" w:space="0" w:color="auto"/>
      </w:divBdr>
      <w:divsChild>
        <w:div w:id="693188371">
          <w:marLeft w:val="0"/>
          <w:marRight w:val="0"/>
          <w:marTop w:val="0"/>
          <w:marBottom w:val="0"/>
          <w:divBdr>
            <w:top w:val="none" w:sz="0" w:space="0" w:color="auto"/>
            <w:left w:val="none" w:sz="0" w:space="0" w:color="auto"/>
            <w:bottom w:val="none" w:sz="0" w:space="0" w:color="auto"/>
            <w:right w:val="none" w:sz="0" w:space="0" w:color="auto"/>
          </w:divBdr>
          <w:divsChild>
            <w:div w:id="1542471632">
              <w:marLeft w:val="0"/>
              <w:marRight w:val="0"/>
              <w:marTop w:val="0"/>
              <w:marBottom w:val="0"/>
              <w:divBdr>
                <w:top w:val="none" w:sz="0" w:space="0" w:color="auto"/>
                <w:left w:val="none" w:sz="0" w:space="0" w:color="auto"/>
                <w:bottom w:val="none" w:sz="0" w:space="0" w:color="auto"/>
                <w:right w:val="none" w:sz="0" w:space="0" w:color="auto"/>
              </w:divBdr>
            </w:div>
          </w:divsChild>
        </w:div>
        <w:div w:id="1277057865">
          <w:marLeft w:val="0"/>
          <w:marRight w:val="0"/>
          <w:marTop w:val="0"/>
          <w:marBottom w:val="0"/>
          <w:divBdr>
            <w:top w:val="none" w:sz="0" w:space="0" w:color="auto"/>
            <w:left w:val="none" w:sz="0" w:space="0" w:color="auto"/>
            <w:bottom w:val="none" w:sz="0" w:space="0" w:color="auto"/>
            <w:right w:val="none" w:sz="0" w:space="0" w:color="auto"/>
          </w:divBdr>
          <w:divsChild>
            <w:div w:id="1720981227">
              <w:marLeft w:val="0"/>
              <w:marRight w:val="0"/>
              <w:marTop w:val="0"/>
              <w:marBottom w:val="0"/>
              <w:divBdr>
                <w:top w:val="none" w:sz="0" w:space="0" w:color="auto"/>
                <w:left w:val="none" w:sz="0" w:space="0" w:color="auto"/>
                <w:bottom w:val="none" w:sz="0" w:space="0" w:color="auto"/>
                <w:right w:val="none" w:sz="0" w:space="0" w:color="auto"/>
              </w:divBdr>
            </w:div>
          </w:divsChild>
        </w:div>
        <w:div w:id="1845629381">
          <w:marLeft w:val="0"/>
          <w:marRight w:val="0"/>
          <w:marTop w:val="0"/>
          <w:marBottom w:val="0"/>
          <w:divBdr>
            <w:top w:val="none" w:sz="0" w:space="0" w:color="auto"/>
            <w:left w:val="none" w:sz="0" w:space="0" w:color="auto"/>
            <w:bottom w:val="none" w:sz="0" w:space="0" w:color="auto"/>
            <w:right w:val="none" w:sz="0" w:space="0" w:color="auto"/>
          </w:divBdr>
          <w:divsChild>
            <w:div w:id="674184933">
              <w:marLeft w:val="0"/>
              <w:marRight w:val="0"/>
              <w:marTop w:val="0"/>
              <w:marBottom w:val="0"/>
              <w:divBdr>
                <w:top w:val="none" w:sz="0" w:space="0" w:color="auto"/>
                <w:left w:val="none" w:sz="0" w:space="0" w:color="auto"/>
                <w:bottom w:val="none" w:sz="0" w:space="0" w:color="auto"/>
                <w:right w:val="none" w:sz="0" w:space="0" w:color="auto"/>
              </w:divBdr>
            </w:div>
          </w:divsChild>
        </w:div>
        <w:div w:id="295648274">
          <w:marLeft w:val="0"/>
          <w:marRight w:val="0"/>
          <w:marTop w:val="0"/>
          <w:marBottom w:val="0"/>
          <w:divBdr>
            <w:top w:val="none" w:sz="0" w:space="0" w:color="auto"/>
            <w:left w:val="none" w:sz="0" w:space="0" w:color="auto"/>
            <w:bottom w:val="none" w:sz="0" w:space="0" w:color="auto"/>
            <w:right w:val="none" w:sz="0" w:space="0" w:color="auto"/>
          </w:divBdr>
          <w:divsChild>
            <w:div w:id="1384256974">
              <w:marLeft w:val="0"/>
              <w:marRight w:val="0"/>
              <w:marTop w:val="0"/>
              <w:marBottom w:val="0"/>
              <w:divBdr>
                <w:top w:val="none" w:sz="0" w:space="0" w:color="auto"/>
                <w:left w:val="none" w:sz="0" w:space="0" w:color="auto"/>
                <w:bottom w:val="none" w:sz="0" w:space="0" w:color="auto"/>
                <w:right w:val="none" w:sz="0" w:space="0" w:color="auto"/>
              </w:divBdr>
            </w:div>
          </w:divsChild>
        </w:div>
        <w:div w:id="2045204014">
          <w:marLeft w:val="0"/>
          <w:marRight w:val="0"/>
          <w:marTop w:val="0"/>
          <w:marBottom w:val="0"/>
          <w:divBdr>
            <w:top w:val="none" w:sz="0" w:space="0" w:color="auto"/>
            <w:left w:val="none" w:sz="0" w:space="0" w:color="auto"/>
            <w:bottom w:val="none" w:sz="0" w:space="0" w:color="auto"/>
            <w:right w:val="none" w:sz="0" w:space="0" w:color="auto"/>
          </w:divBdr>
          <w:divsChild>
            <w:div w:id="89854990">
              <w:marLeft w:val="0"/>
              <w:marRight w:val="0"/>
              <w:marTop w:val="0"/>
              <w:marBottom w:val="0"/>
              <w:divBdr>
                <w:top w:val="none" w:sz="0" w:space="0" w:color="auto"/>
                <w:left w:val="none" w:sz="0" w:space="0" w:color="auto"/>
                <w:bottom w:val="none" w:sz="0" w:space="0" w:color="auto"/>
                <w:right w:val="none" w:sz="0" w:space="0" w:color="auto"/>
              </w:divBdr>
            </w:div>
          </w:divsChild>
        </w:div>
        <w:div w:id="662584253">
          <w:marLeft w:val="0"/>
          <w:marRight w:val="0"/>
          <w:marTop w:val="0"/>
          <w:marBottom w:val="0"/>
          <w:divBdr>
            <w:top w:val="none" w:sz="0" w:space="0" w:color="auto"/>
            <w:left w:val="none" w:sz="0" w:space="0" w:color="auto"/>
            <w:bottom w:val="none" w:sz="0" w:space="0" w:color="auto"/>
            <w:right w:val="none" w:sz="0" w:space="0" w:color="auto"/>
          </w:divBdr>
          <w:divsChild>
            <w:div w:id="1296059812">
              <w:marLeft w:val="0"/>
              <w:marRight w:val="0"/>
              <w:marTop w:val="0"/>
              <w:marBottom w:val="0"/>
              <w:divBdr>
                <w:top w:val="none" w:sz="0" w:space="0" w:color="auto"/>
                <w:left w:val="none" w:sz="0" w:space="0" w:color="auto"/>
                <w:bottom w:val="none" w:sz="0" w:space="0" w:color="auto"/>
                <w:right w:val="none" w:sz="0" w:space="0" w:color="auto"/>
              </w:divBdr>
            </w:div>
          </w:divsChild>
        </w:div>
        <w:div w:id="1945189563">
          <w:marLeft w:val="0"/>
          <w:marRight w:val="0"/>
          <w:marTop w:val="0"/>
          <w:marBottom w:val="0"/>
          <w:divBdr>
            <w:top w:val="none" w:sz="0" w:space="0" w:color="auto"/>
            <w:left w:val="none" w:sz="0" w:space="0" w:color="auto"/>
            <w:bottom w:val="none" w:sz="0" w:space="0" w:color="auto"/>
            <w:right w:val="none" w:sz="0" w:space="0" w:color="auto"/>
          </w:divBdr>
          <w:divsChild>
            <w:div w:id="179779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91025">
      <w:bodyDiv w:val="1"/>
      <w:marLeft w:val="0"/>
      <w:marRight w:val="0"/>
      <w:marTop w:val="0"/>
      <w:marBottom w:val="0"/>
      <w:divBdr>
        <w:top w:val="none" w:sz="0" w:space="0" w:color="auto"/>
        <w:left w:val="none" w:sz="0" w:space="0" w:color="auto"/>
        <w:bottom w:val="none" w:sz="0" w:space="0" w:color="auto"/>
        <w:right w:val="none" w:sz="0" w:space="0" w:color="auto"/>
      </w:divBdr>
    </w:div>
    <w:div w:id="1895920597">
      <w:bodyDiv w:val="1"/>
      <w:marLeft w:val="0"/>
      <w:marRight w:val="0"/>
      <w:marTop w:val="0"/>
      <w:marBottom w:val="0"/>
      <w:divBdr>
        <w:top w:val="none" w:sz="0" w:space="0" w:color="auto"/>
        <w:left w:val="none" w:sz="0" w:space="0" w:color="auto"/>
        <w:bottom w:val="none" w:sz="0" w:space="0" w:color="auto"/>
        <w:right w:val="none" w:sz="0" w:space="0" w:color="auto"/>
      </w:divBdr>
    </w:div>
    <w:div w:id="1974477469">
      <w:bodyDiv w:val="1"/>
      <w:marLeft w:val="0"/>
      <w:marRight w:val="0"/>
      <w:marTop w:val="0"/>
      <w:marBottom w:val="0"/>
      <w:divBdr>
        <w:top w:val="none" w:sz="0" w:space="0" w:color="auto"/>
        <w:left w:val="none" w:sz="0" w:space="0" w:color="auto"/>
        <w:bottom w:val="none" w:sz="0" w:space="0" w:color="auto"/>
        <w:right w:val="none" w:sz="0" w:space="0" w:color="auto"/>
      </w:divBdr>
      <w:divsChild>
        <w:div w:id="1354654113">
          <w:marLeft w:val="0"/>
          <w:marRight w:val="0"/>
          <w:marTop w:val="0"/>
          <w:marBottom w:val="0"/>
          <w:divBdr>
            <w:top w:val="none" w:sz="0" w:space="0" w:color="auto"/>
            <w:left w:val="none" w:sz="0" w:space="0" w:color="auto"/>
            <w:bottom w:val="none" w:sz="0" w:space="0" w:color="auto"/>
            <w:right w:val="none" w:sz="0" w:space="0" w:color="auto"/>
          </w:divBdr>
        </w:div>
      </w:divsChild>
    </w:div>
    <w:div w:id="2084137810">
      <w:bodyDiv w:val="1"/>
      <w:marLeft w:val="0"/>
      <w:marRight w:val="0"/>
      <w:marTop w:val="0"/>
      <w:marBottom w:val="0"/>
      <w:divBdr>
        <w:top w:val="none" w:sz="0" w:space="0" w:color="auto"/>
        <w:left w:val="none" w:sz="0" w:space="0" w:color="auto"/>
        <w:bottom w:val="none" w:sz="0" w:space="0" w:color="auto"/>
        <w:right w:val="none" w:sz="0" w:space="0" w:color="auto"/>
      </w:divBdr>
    </w:div>
    <w:div w:id="2111772796">
      <w:bodyDiv w:val="1"/>
      <w:marLeft w:val="0"/>
      <w:marRight w:val="0"/>
      <w:marTop w:val="0"/>
      <w:marBottom w:val="0"/>
      <w:divBdr>
        <w:top w:val="none" w:sz="0" w:space="0" w:color="auto"/>
        <w:left w:val="none" w:sz="0" w:space="0" w:color="auto"/>
        <w:bottom w:val="none" w:sz="0" w:space="0" w:color="auto"/>
        <w:right w:val="none" w:sz="0" w:space="0" w:color="auto"/>
      </w:divBdr>
    </w:div>
    <w:div w:id="2115976761">
      <w:bodyDiv w:val="1"/>
      <w:marLeft w:val="0"/>
      <w:marRight w:val="0"/>
      <w:marTop w:val="0"/>
      <w:marBottom w:val="0"/>
      <w:divBdr>
        <w:top w:val="none" w:sz="0" w:space="0" w:color="auto"/>
        <w:left w:val="none" w:sz="0" w:space="0" w:color="auto"/>
        <w:bottom w:val="none" w:sz="0" w:space="0" w:color="auto"/>
        <w:right w:val="none" w:sz="0" w:space="0" w:color="auto"/>
      </w:divBdr>
    </w:div>
    <w:div w:id="2117289395">
      <w:bodyDiv w:val="1"/>
      <w:marLeft w:val="0"/>
      <w:marRight w:val="0"/>
      <w:marTop w:val="0"/>
      <w:marBottom w:val="0"/>
      <w:divBdr>
        <w:top w:val="none" w:sz="0" w:space="0" w:color="auto"/>
        <w:left w:val="none" w:sz="0" w:space="0" w:color="auto"/>
        <w:bottom w:val="none" w:sz="0" w:space="0" w:color="auto"/>
        <w:right w:val="none" w:sz="0" w:space="0" w:color="auto"/>
      </w:divBdr>
    </w:div>
    <w:div w:id="213031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s://id.caicyt.gov.ar/ark://wdeuuf6a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villavicencio.org.ar/anuario/32/liberacion-de-troponina.pdf" TargetMode="External"/><Relationship Id="rId10" Type="http://schemas.openxmlformats.org/officeDocument/2006/relationships/header" Target="header2.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30775-BC9C-45DC-B1B6-6CC7A301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3973</Words>
  <Characters>21856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Fundacion</dc:creator>
  <cp:lastModifiedBy>Fundacion</cp:lastModifiedBy>
  <cp:revision>2</cp:revision>
  <cp:lastPrinted>2021-08-19T13:54:00Z</cp:lastPrinted>
  <dcterms:created xsi:type="dcterms:W3CDTF">2025-06-18T22:06:00Z</dcterms:created>
  <dcterms:modified xsi:type="dcterms:W3CDTF">2025-06-18T22:06:00Z</dcterms:modified>
</cp:coreProperties>
</file>